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8B787" w14:textId="4A41CDEF" w:rsidR="004D3FF8" w:rsidRDefault="0053209F" w:rsidP="004D3FF8">
      <w:pPr>
        <w:pStyle w:val="NoSpacing"/>
        <w:spacing w:line="276" w:lineRule="auto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6944" behindDoc="1" locked="0" layoutInCell="1" allowOverlap="1" wp14:anchorId="43569EBA" wp14:editId="59863678">
            <wp:simplePos x="0" y="0"/>
            <wp:positionH relativeFrom="column">
              <wp:posOffset>5147945</wp:posOffset>
            </wp:positionH>
            <wp:positionV relativeFrom="paragraph">
              <wp:posOffset>-323850</wp:posOffset>
            </wp:positionV>
            <wp:extent cx="909320" cy="909320"/>
            <wp:effectExtent l="0" t="0" r="0" b="0"/>
            <wp:wrapTight wrapText="bothSides">
              <wp:wrapPolygon edited="0">
                <wp:start x="0" y="0"/>
                <wp:lineTo x="0" y="19006"/>
                <wp:lineTo x="1358" y="21268"/>
                <wp:lineTo x="17196" y="21268"/>
                <wp:lineTo x="18553" y="14480"/>
                <wp:lineTo x="20816" y="7240"/>
                <wp:lineTo x="21268" y="4978"/>
                <wp:lineTo x="21268" y="3168"/>
                <wp:lineTo x="19006" y="0"/>
                <wp:lineTo x="0" y="0"/>
              </wp:wrapPolygon>
            </wp:wrapTight>
            <wp:docPr id="1443896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896111" name="Picture 14438961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FF8" w:rsidRPr="00353DF9">
        <w:rPr>
          <w:i/>
          <w:iCs/>
          <w:color w:val="0E8744"/>
          <w:sz w:val="32"/>
          <w:szCs w:val="32"/>
        </w:rPr>
        <w:t>DUNN COUNTY</w:t>
      </w:r>
    </w:p>
    <w:p w14:paraId="3945AADB" w14:textId="252096AA" w:rsidR="004D3FF8" w:rsidRPr="00353DF9" w:rsidRDefault="00B955C2" w:rsidP="004D3FF8">
      <w:pPr>
        <w:pStyle w:val="NoSpacing"/>
        <w:rPr>
          <w:b/>
          <w:bCs/>
          <w:sz w:val="48"/>
          <w:szCs w:val="48"/>
        </w:rPr>
      </w:pPr>
      <w:r>
        <w:rPr>
          <w:b/>
          <w:bCs/>
          <w:color w:val="263A85"/>
          <w:sz w:val="48"/>
          <w:szCs w:val="48"/>
        </w:rPr>
        <w:t>Bridge Loan Fund</w:t>
      </w:r>
    </w:p>
    <w:p w14:paraId="40B8744B" w14:textId="0B191C24" w:rsidR="004D3FF8" w:rsidRPr="008F6042" w:rsidRDefault="000B2783" w:rsidP="004D3FF8">
      <w:pPr>
        <w:pStyle w:val="NoSpacing"/>
      </w:pPr>
      <w:r>
        <w:rPr>
          <w:noProof/>
        </w:rPr>
        <w:pict w14:anchorId="60427F4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9pt;margin-top:9.1pt;width:467.1pt;height:0;z-index:251659264" o:connectortype="straight" strokecolor="#263a85" strokeweight="2.5pt"/>
        </w:pict>
      </w:r>
    </w:p>
    <w:p w14:paraId="7F5227D3" w14:textId="531BA1A2" w:rsidR="004D3FF8" w:rsidRDefault="004D3FF8" w:rsidP="004D3FF8">
      <w:pPr>
        <w:pStyle w:val="NoSpacing"/>
      </w:pPr>
    </w:p>
    <w:p w14:paraId="4CDF5C0D" w14:textId="20659E19" w:rsidR="00C91C0E" w:rsidRPr="000B542D" w:rsidRDefault="00C91C0E" w:rsidP="00C91C0E">
      <w:pPr>
        <w:rPr>
          <w:i/>
          <w:iCs/>
          <w:color w:val="263A85"/>
        </w:rPr>
      </w:pPr>
      <w:r w:rsidRPr="000B542D">
        <w:rPr>
          <w:i/>
          <w:iCs/>
          <w:color w:val="263A85"/>
        </w:rPr>
        <w:t xml:space="preserve">The Bridge Loan Fund provides gap financing for businesses in Dunn County that have secured a lead lender but need additional financing to close the gap. This fund is intended for larger, more strategic projects that contribute to </w:t>
      </w:r>
      <w:r w:rsidR="000B2783">
        <w:rPr>
          <w:i/>
          <w:iCs/>
          <w:color w:val="263A85"/>
        </w:rPr>
        <w:t>the county's job creation and economic growth</w:t>
      </w:r>
      <w:r w:rsidRPr="000B542D">
        <w:rPr>
          <w:i/>
          <w:iCs/>
          <w:color w:val="263A85"/>
        </w:rPr>
        <w:t>.</w:t>
      </w:r>
    </w:p>
    <w:p w14:paraId="1895F812" w14:textId="77777777" w:rsidR="007A0CF7" w:rsidRPr="00D80BC5" w:rsidRDefault="007A0CF7" w:rsidP="007A0CF7">
      <w:pPr>
        <w:pStyle w:val="NoSpacing"/>
        <w:rPr>
          <w:b/>
          <w:bCs/>
          <w:color w:val="263A85"/>
          <w:sz w:val="24"/>
          <w:szCs w:val="24"/>
        </w:rPr>
      </w:pPr>
      <w:r w:rsidRPr="00D80BC5">
        <w:rPr>
          <w:b/>
          <w:bCs/>
          <w:color w:val="263A85"/>
          <w:sz w:val="24"/>
          <w:szCs w:val="24"/>
        </w:rPr>
        <w:t>Loan terms:</w:t>
      </w:r>
    </w:p>
    <w:p w14:paraId="4C5A78EB" w14:textId="77777777" w:rsidR="007A0CF7" w:rsidRPr="003C484C" w:rsidRDefault="007A0CF7" w:rsidP="00D80BC5">
      <w:pPr>
        <w:pStyle w:val="NoSpacing"/>
        <w:numPr>
          <w:ilvl w:val="0"/>
          <w:numId w:val="5"/>
        </w:numPr>
        <w:rPr>
          <w:color w:val="263A85"/>
        </w:rPr>
      </w:pPr>
      <w:r w:rsidRPr="003C484C">
        <w:rPr>
          <w:color w:val="263A85"/>
        </w:rPr>
        <w:t>Loan amounts: Up to $150,000.</w:t>
      </w:r>
    </w:p>
    <w:p w14:paraId="45DDB9EB" w14:textId="77777777" w:rsidR="007A0CF7" w:rsidRPr="003C484C" w:rsidRDefault="007A0CF7" w:rsidP="00D80BC5">
      <w:pPr>
        <w:pStyle w:val="NoSpacing"/>
        <w:numPr>
          <w:ilvl w:val="0"/>
          <w:numId w:val="5"/>
        </w:numPr>
        <w:rPr>
          <w:color w:val="263A85"/>
        </w:rPr>
      </w:pPr>
      <w:r w:rsidRPr="003C484C">
        <w:rPr>
          <w:color w:val="263A85"/>
        </w:rPr>
        <w:t>Interest rate: +/- 2% of the Bank of North Dakota Prime Rate.</w:t>
      </w:r>
    </w:p>
    <w:p w14:paraId="66325173" w14:textId="77777777" w:rsidR="007A0CF7" w:rsidRPr="003C484C" w:rsidRDefault="007A0CF7" w:rsidP="00D80BC5">
      <w:pPr>
        <w:pStyle w:val="NoSpacing"/>
        <w:numPr>
          <w:ilvl w:val="0"/>
          <w:numId w:val="5"/>
        </w:numPr>
        <w:rPr>
          <w:color w:val="263A85"/>
        </w:rPr>
      </w:pPr>
      <w:r w:rsidRPr="003C484C">
        <w:rPr>
          <w:color w:val="263A85"/>
        </w:rPr>
        <w:t>Repayment term: 7-10 years.</w:t>
      </w:r>
    </w:p>
    <w:p w14:paraId="336B83E4" w14:textId="77777777" w:rsidR="007A0CF7" w:rsidRPr="003C484C" w:rsidRDefault="007A0CF7" w:rsidP="00D80BC5">
      <w:pPr>
        <w:pStyle w:val="NoSpacing"/>
        <w:numPr>
          <w:ilvl w:val="0"/>
          <w:numId w:val="5"/>
        </w:numPr>
        <w:rPr>
          <w:color w:val="263A85"/>
        </w:rPr>
      </w:pPr>
      <w:r w:rsidRPr="003C484C">
        <w:rPr>
          <w:color w:val="263A85"/>
        </w:rPr>
        <w:t>Varying degrees of participation based on job development, priority level, and project impact.</w:t>
      </w:r>
    </w:p>
    <w:p w14:paraId="3EAF96DF" w14:textId="77777777" w:rsidR="007A0CF7" w:rsidRDefault="007A0CF7" w:rsidP="00D80BC5">
      <w:pPr>
        <w:pStyle w:val="NoSpacing"/>
        <w:numPr>
          <w:ilvl w:val="0"/>
          <w:numId w:val="5"/>
        </w:numPr>
        <w:rPr>
          <w:color w:val="263A85"/>
        </w:rPr>
      </w:pPr>
      <w:r w:rsidRPr="003C484C">
        <w:rPr>
          <w:color w:val="263A85"/>
        </w:rPr>
        <w:t>Security agreement required.</w:t>
      </w:r>
    </w:p>
    <w:p w14:paraId="3F8E8F6A" w14:textId="6065D921" w:rsidR="00B911DD" w:rsidRDefault="006C38EF" w:rsidP="006C38EF">
      <w:pPr>
        <w:pStyle w:val="NoSpacing"/>
        <w:numPr>
          <w:ilvl w:val="0"/>
          <w:numId w:val="5"/>
        </w:numPr>
        <w:rPr>
          <w:color w:val="263A85"/>
        </w:rPr>
      </w:pPr>
      <w:r w:rsidRPr="002669AD">
        <w:rPr>
          <w:color w:val="263A85"/>
        </w:rPr>
        <w:t>Personal guarantee</w:t>
      </w:r>
      <w:r w:rsidR="000B048A">
        <w:rPr>
          <w:color w:val="263A85"/>
        </w:rPr>
        <w:t>(s) required</w:t>
      </w:r>
      <w:r w:rsidR="00B911DD">
        <w:rPr>
          <w:color w:val="263A85"/>
        </w:rPr>
        <w:t>.</w:t>
      </w:r>
    </w:p>
    <w:p w14:paraId="630F4FA5" w14:textId="2C989161" w:rsidR="006C38EF" w:rsidRPr="006C38EF" w:rsidRDefault="000B048A" w:rsidP="006C38EF">
      <w:pPr>
        <w:pStyle w:val="NoSpacing"/>
        <w:numPr>
          <w:ilvl w:val="0"/>
          <w:numId w:val="5"/>
        </w:numPr>
        <w:rPr>
          <w:color w:val="263A85"/>
        </w:rPr>
      </w:pPr>
      <w:r>
        <w:rPr>
          <w:color w:val="263A85"/>
        </w:rPr>
        <w:t>Collateral may be required.</w:t>
      </w:r>
    </w:p>
    <w:p w14:paraId="1E07760A" w14:textId="77777777" w:rsidR="007A0CF7" w:rsidRDefault="007A0CF7" w:rsidP="004A490A">
      <w:pPr>
        <w:pStyle w:val="NoSpacing"/>
        <w:rPr>
          <w:color w:val="263A85"/>
        </w:rPr>
      </w:pPr>
    </w:p>
    <w:p w14:paraId="2FDB3A5C" w14:textId="27AC74BE" w:rsidR="00C91C0E" w:rsidRPr="00415482" w:rsidRDefault="00C91C0E" w:rsidP="004A490A">
      <w:pPr>
        <w:pStyle w:val="NoSpacing"/>
        <w:rPr>
          <w:b/>
          <w:bCs/>
          <w:color w:val="263A85"/>
          <w:sz w:val="24"/>
          <w:szCs w:val="24"/>
        </w:rPr>
      </w:pPr>
      <w:r w:rsidRPr="00415482">
        <w:rPr>
          <w:b/>
          <w:bCs/>
          <w:color w:val="263A85"/>
          <w:sz w:val="24"/>
          <w:szCs w:val="24"/>
        </w:rPr>
        <w:t>Eligible Borrowers:</w:t>
      </w:r>
    </w:p>
    <w:p w14:paraId="085ABAE2" w14:textId="77777777" w:rsidR="00C91C0E" w:rsidRDefault="00C91C0E" w:rsidP="00DE2B75">
      <w:pPr>
        <w:pStyle w:val="NoSpacing"/>
        <w:numPr>
          <w:ilvl w:val="0"/>
          <w:numId w:val="6"/>
        </w:numPr>
        <w:rPr>
          <w:color w:val="263A85"/>
        </w:rPr>
      </w:pPr>
      <w:r w:rsidRPr="003C484C">
        <w:rPr>
          <w:color w:val="263A85"/>
        </w:rPr>
        <w:t>Businesses with a lead lender in place and seeking additional financing.</w:t>
      </w:r>
    </w:p>
    <w:p w14:paraId="796C2D78" w14:textId="36CC7D06" w:rsidR="006D15D5" w:rsidRPr="006D15D5" w:rsidRDefault="006D15D5" w:rsidP="006D15D5">
      <w:pPr>
        <w:pStyle w:val="NoSpacing"/>
        <w:numPr>
          <w:ilvl w:val="0"/>
          <w:numId w:val="6"/>
        </w:numPr>
        <w:rPr>
          <w:color w:val="263A85"/>
        </w:rPr>
      </w:pPr>
      <w:r w:rsidRPr="002669AD">
        <w:rPr>
          <w:color w:val="263A85"/>
        </w:rPr>
        <w:t>Businesses located in Dunn County.</w:t>
      </w:r>
    </w:p>
    <w:p w14:paraId="1BC03351" w14:textId="419E0209" w:rsidR="00C91C0E" w:rsidRDefault="00C91C0E" w:rsidP="00DE2B75">
      <w:pPr>
        <w:pStyle w:val="NoSpacing"/>
        <w:numPr>
          <w:ilvl w:val="0"/>
          <w:numId w:val="6"/>
        </w:numPr>
        <w:rPr>
          <w:color w:val="263A85"/>
        </w:rPr>
      </w:pPr>
      <w:r w:rsidRPr="003C484C">
        <w:rPr>
          <w:color w:val="263A85"/>
        </w:rPr>
        <w:t xml:space="preserve">Projects must demonstrate </w:t>
      </w:r>
      <w:r w:rsidR="000B2783">
        <w:rPr>
          <w:color w:val="263A85"/>
        </w:rPr>
        <w:t xml:space="preserve">a </w:t>
      </w:r>
      <w:r w:rsidRPr="003C484C">
        <w:rPr>
          <w:color w:val="263A85"/>
        </w:rPr>
        <w:t>significant impact on the community and the region.</w:t>
      </w:r>
    </w:p>
    <w:p w14:paraId="42995C5D" w14:textId="6960D755" w:rsidR="00520EF1" w:rsidRPr="003C484C" w:rsidRDefault="00520EF1" w:rsidP="00DE2B75">
      <w:pPr>
        <w:pStyle w:val="NoSpacing"/>
        <w:numPr>
          <w:ilvl w:val="0"/>
          <w:numId w:val="6"/>
        </w:numPr>
        <w:rPr>
          <w:color w:val="263A85"/>
        </w:rPr>
      </w:pPr>
      <w:r>
        <w:rPr>
          <w:color w:val="263A85"/>
        </w:rPr>
        <w:t xml:space="preserve">Must </w:t>
      </w:r>
      <w:r w:rsidR="000B2783">
        <w:rPr>
          <w:color w:val="263A85"/>
        </w:rPr>
        <w:t>employ</w:t>
      </w:r>
      <w:r>
        <w:rPr>
          <w:color w:val="263A85"/>
        </w:rPr>
        <w:t xml:space="preserve"> 1-10 employees or be a new venture.</w:t>
      </w:r>
    </w:p>
    <w:p w14:paraId="4FA44E15" w14:textId="77777777" w:rsidR="00975D04" w:rsidRDefault="00975D04" w:rsidP="004A490A">
      <w:pPr>
        <w:pStyle w:val="NoSpacing"/>
        <w:rPr>
          <w:color w:val="263A85"/>
        </w:rPr>
      </w:pPr>
    </w:p>
    <w:p w14:paraId="377D5B48" w14:textId="29F5A414" w:rsidR="00C91C0E" w:rsidRPr="000D4436" w:rsidRDefault="00C91C0E" w:rsidP="004A490A">
      <w:pPr>
        <w:pStyle w:val="NoSpacing"/>
        <w:rPr>
          <w:b/>
          <w:bCs/>
          <w:color w:val="263A85"/>
          <w:sz w:val="24"/>
          <w:szCs w:val="24"/>
        </w:rPr>
      </w:pPr>
      <w:r w:rsidRPr="000D4436">
        <w:rPr>
          <w:b/>
          <w:bCs/>
          <w:color w:val="263A85"/>
          <w:sz w:val="24"/>
          <w:szCs w:val="24"/>
        </w:rPr>
        <w:t>Eligible Use of Funds:</w:t>
      </w:r>
    </w:p>
    <w:p w14:paraId="5F239D1D" w14:textId="77777777" w:rsidR="00C91C0E" w:rsidRPr="003C484C" w:rsidRDefault="00C91C0E" w:rsidP="004A490A">
      <w:pPr>
        <w:pStyle w:val="NoSpacing"/>
        <w:rPr>
          <w:color w:val="263A85"/>
        </w:rPr>
      </w:pPr>
      <w:r w:rsidRPr="003C484C">
        <w:rPr>
          <w:color w:val="263A85"/>
        </w:rPr>
        <w:t>The Bridge Loan Fund can be used to finance major business projects, including:</w:t>
      </w:r>
    </w:p>
    <w:p w14:paraId="744F5812" w14:textId="77777777" w:rsidR="00C91C0E" w:rsidRPr="003C484C" w:rsidRDefault="00C91C0E" w:rsidP="00523AA4">
      <w:pPr>
        <w:pStyle w:val="NoSpacing"/>
        <w:numPr>
          <w:ilvl w:val="0"/>
          <w:numId w:val="7"/>
        </w:numPr>
        <w:rPr>
          <w:color w:val="263A85"/>
        </w:rPr>
      </w:pPr>
      <w:r w:rsidRPr="003C484C">
        <w:rPr>
          <w:color w:val="263A85"/>
        </w:rPr>
        <w:t>Business expansions.</w:t>
      </w:r>
    </w:p>
    <w:p w14:paraId="22F29204" w14:textId="77777777" w:rsidR="00C91C0E" w:rsidRPr="003C484C" w:rsidRDefault="00C91C0E" w:rsidP="00523AA4">
      <w:pPr>
        <w:pStyle w:val="NoSpacing"/>
        <w:numPr>
          <w:ilvl w:val="0"/>
          <w:numId w:val="7"/>
        </w:numPr>
        <w:rPr>
          <w:color w:val="263A85"/>
        </w:rPr>
      </w:pPr>
      <w:r w:rsidRPr="003C484C">
        <w:rPr>
          <w:color w:val="263A85"/>
        </w:rPr>
        <w:t>Equipment and real estate purchases.</w:t>
      </w:r>
    </w:p>
    <w:p w14:paraId="4ED87772" w14:textId="77777777" w:rsidR="00C91C0E" w:rsidRPr="003C484C" w:rsidRDefault="00C91C0E" w:rsidP="00523AA4">
      <w:pPr>
        <w:pStyle w:val="NoSpacing"/>
        <w:numPr>
          <w:ilvl w:val="0"/>
          <w:numId w:val="7"/>
        </w:numPr>
        <w:rPr>
          <w:color w:val="263A85"/>
        </w:rPr>
      </w:pPr>
      <w:r w:rsidRPr="003C484C">
        <w:rPr>
          <w:color w:val="263A85"/>
        </w:rPr>
        <w:t>Large-scale developments that create jobs or have a significant community impact.</w:t>
      </w:r>
    </w:p>
    <w:p w14:paraId="5AC0E756" w14:textId="77777777" w:rsidR="00975D04" w:rsidRDefault="00975D04" w:rsidP="004A490A">
      <w:pPr>
        <w:pStyle w:val="NoSpacing"/>
        <w:rPr>
          <w:color w:val="263A85"/>
        </w:rPr>
      </w:pPr>
    </w:p>
    <w:p w14:paraId="616B4201" w14:textId="6D546C05" w:rsidR="00C91C0E" w:rsidRPr="00523AA4" w:rsidRDefault="00C91C0E" w:rsidP="004A490A">
      <w:pPr>
        <w:pStyle w:val="NoSpacing"/>
        <w:rPr>
          <w:b/>
          <w:bCs/>
          <w:color w:val="263A85"/>
          <w:sz w:val="24"/>
          <w:szCs w:val="24"/>
        </w:rPr>
      </w:pPr>
      <w:r w:rsidRPr="00523AA4">
        <w:rPr>
          <w:b/>
          <w:bCs/>
          <w:color w:val="263A85"/>
          <w:sz w:val="24"/>
          <w:szCs w:val="24"/>
        </w:rPr>
        <w:t>Standard Terms:</w:t>
      </w:r>
    </w:p>
    <w:p w14:paraId="6AD00849" w14:textId="624E6ACD" w:rsidR="00C91C0E" w:rsidRPr="003C484C" w:rsidRDefault="000B2783" w:rsidP="004A490A">
      <w:pPr>
        <w:pStyle w:val="NoSpacing"/>
        <w:rPr>
          <w:color w:val="263A85"/>
        </w:rPr>
      </w:pPr>
      <w:r>
        <w:rPr>
          <w:color w:val="263A85"/>
        </w:rPr>
        <w:t>The loan committee and the applicant will determine loan terms and start dates based on the project's specifics</w:t>
      </w:r>
      <w:r w:rsidR="00C91C0E" w:rsidRPr="003C484C">
        <w:rPr>
          <w:color w:val="263A85"/>
        </w:rPr>
        <w:t>.</w:t>
      </w:r>
    </w:p>
    <w:p w14:paraId="040395C9" w14:textId="77777777" w:rsidR="007A0CF7" w:rsidRDefault="007A0CF7" w:rsidP="004A490A">
      <w:pPr>
        <w:pStyle w:val="NoSpacing"/>
        <w:rPr>
          <w:color w:val="263A85"/>
        </w:rPr>
      </w:pPr>
    </w:p>
    <w:p w14:paraId="5E672D45" w14:textId="200BE958" w:rsidR="00C91C0E" w:rsidRPr="005F411E" w:rsidRDefault="00C91C0E" w:rsidP="004A490A">
      <w:pPr>
        <w:pStyle w:val="NoSpacing"/>
        <w:rPr>
          <w:b/>
          <w:bCs/>
          <w:color w:val="263A85"/>
          <w:sz w:val="24"/>
          <w:szCs w:val="24"/>
        </w:rPr>
      </w:pPr>
      <w:r w:rsidRPr="005F411E">
        <w:rPr>
          <w:b/>
          <w:bCs/>
          <w:color w:val="263A85"/>
          <w:sz w:val="24"/>
          <w:szCs w:val="24"/>
        </w:rPr>
        <w:t>Approval Process:</w:t>
      </w:r>
    </w:p>
    <w:p w14:paraId="054C5207" w14:textId="5BF39C26" w:rsidR="00902626" w:rsidRDefault="00902626" w:rsidP="00964D91">
      <w:pPr>
        <w:pStyle w:val="NoSpacing"/>
        <w:numPr>
          <w:ilvl w:val="0"/>
          <w:numId w:val="8"/>
        </w:numPr>
        <w:rPr>
          <w:color w:val="263A85"/>
        </w:rPr>
      </w:pPr>
      <w:r w:rsidRPr="002669AD">
        <w:rPr>
          <w:color w:val="263A85"/>
        </w:rPr>
        <w:t>A completed application and documentation demonstrating the borrower’s ability to meet the loan’s terms and conditions are required.</w:t>
      </w:r>
    </w:p>
    <w:p w14:paraId="6ACFDD40" w14:textId="0E4EEFA5" w:rsidR="00964D91" w:rsidRDefault="00C91C0E" w:rsidP="00964D91">
      <w:pPr>
        <w:pStyle w:val="NoSpacing"/>
        <w:numPr>
          <w:ilvl w:val="0"/>
          <w:numId w:val="8"/>
        </w:numPr>
        <w:rPr>
          <w:color w:val="263A85"/>
        </w:rPr>
      </w:pPr>
      <w:r w:rsidRPr="003C484C">
        <w:rPr>
          <w:color w:val="263A85"/>
        </w:rPr>
        <w:t xml:space="preserve">All applications will be reviewed by the Loan Committee, which will make recommendations to the Dunn County JDA Full Board. </w:t>
      </w:r>
    </w:p>
    <w:p w14:paraId="37408A22" w14:textId="75F8F4AF" w:rsidR="00C91C0E" w:rsidRPr="003C484C" w:rsidRDefault="00C91C0E" w:rsidP="00964D91">
      <w:pPr>
        <w:pStyle w:val="NoSpacing"/>
        <w:numPr>
          <w:ilvl w:val="0"/>
          <w:numId w:val="8"/>
        </w:numPr>
        <w:rPr>
          <w:color w:val="263A85"/>
        </w:rPr>
      </w:pPr>
      <w:r w:rsidRPr="003C484C">
        <w:rPr>
          <w:color w:val="263A85"/>
        </w:rPr>
        <w:t>Loans exceeding $100,000 require full board approval.</w:t>
      </w:r>
    </w:p>
    <w:p w14:paraId="0166937E" w14:textId="45633056" w:rsidR="004C08A8" w:rsidRPr="00BA52CE" w:rsidRDefault="00C91C0E" w:rsidP="004A490A">
      <w:pPr>
        <w:pStyle w:val="NoSpacing"/>
        <w:numPr>
          <w:ilvl w:val="0"/>
          <w:numId w:val="8"/>
        </w:numPr>
        <w:rPr>
          <w:color w:val="263A85"/>
        </w:rPr>
      </w:pPr>
      <w:r w:rsidRPr="003C484C">
        <w:rPr>
          <w:color w:val="263A85"/>
        </w:rPr>
        <w:t>The committee will determine loan terms, interest rates, and start dates in collaboration with the borrower</w:t>
      </w:r>
      <w:r w:rsidR="00812557" w:rsidRPr="003C484C">
        <w:rPr>
          <w:color w:val="263A85"/>
        </w:rPr>
        <w:t>.</w:t>
      </w:r>
    </w:p>
    <w:p w14:paraId="28955FB7" w14:textId="77777777" w:rsidR="004C08A8" w:rsidRDefault="004C08A8" w:rsidP="004A490A">
      <w:pPr>
        <w:pStyle w:val="NoSpacing"/>
        <w:rPr>
          <w:b/>
          <w:bCs/>
          <w:color w:val="263A85"/>
          <w:sz w:val="24"/>
          <w:szCs w:val="24"/>
        </w:rPr>
      </w:pPr>
    </w:p>
    <w:p w14:paraId="6A4A1DBD" w14:textId="57350889" w:rsidR="00C91C0E" w:rsidRPr="00964D91" w:rsidRDefault="00C91C0E" w:rsidP="004A490A">
      <w:pPr>
        <w:pStyle w:val="NoSpacing"/>
        <w:rPr>
          <w:b/>
          <w:bCs/>
          <w:color w:val="263A85"/>
          <w:sz w:val="24"/>
          <w:szCs w:val="24"/>
        </w:rPr>
      </w:pPr>
      <w:r w:rsidRPr="00964D91">
        <w:rPr>
          <w:b/>
          <w:bCs/>
          <w:color w:val="263A85"/>
          <w:sz w:val="24"/>
          <w:szCs w:val="24"/>
        </w:rPr>
        <w:t>Program Administration:</w:t>
      </w:r>
    </w:p>
    <w:p w14:paraId="3863C336" w14:textId="11F6B913" w:rsidR="00C91C0E" w:rsidRDefault="00C91C0E" w:rsidP="004A490A">
      <w:pPr>
        <w:pStyle w:val="NoSpacing"/>
        <w:rPr>
          <w:color w:val="263A85"/>
        </w:rPr>
      </w:pPr>
      <w:r w:rsidRPr="003C484C">
        <w:rPr>
          <w:color w:val="263A85"/>
        </w:rPr>
        <w:t xml:space="preserve">Dunn County </w:t>
      </w:r>
      <w:r w:rsidRPr="000B2783">
        <w:rPr>
          <w:color w:val="002060"/>
        </w:rPr>
        <w:t>JDA</w:t>
      </w:r>
      <w:r w:rsidR="00685D9D" w:rsidRPr="000B2783">
        <w:rPr>
          <w:color w:val="002060"/>
        </w:rPr>
        <w:t xml:space="preserve"> or </w:t>
      </w:r>
      <w:bookmarkStart w:id="0" w:name="_Hlk187232937"/>
      <w:r w:rsidR="000B2783" w:rsidRPr="000B2783">
        <w:rPr>
          <w:color w:val="002060"/>
        </w:rPr>
        <w:t xml:space="preserve">loan servicing company </w:t>
      </w:r>
      <w:bookmarkEnd w:id="0"/>
      <w:r w:rsidR="000B2783" w:rsidRPr="000B2783">
        <w:rPr>
          <w:color w:val="002060"/>
        </w:rPr>
        <w:t>will</w:t>
      </w:r>
      <w:r w:rsidRPr="000B2783">
        <w:rPr>
          <w:color w:val="002060"/>
        </w:rPr>
        <w:t xml:space="preserve"> oversee the administration and monitoring of the Bridge Loan Fund. The Loan Committee</w:t>
      </w:r>
      <w:r w:rsidR="002A4EFB" w:rsidRPr="000B2783">
        <w:rPr>
          <w:color w:val="002060"/>
        </w:rPr>
        <w:t xml:space="preserve"> or </w:t>
      </w:r>
      <w:r w:rsidR="000B2783" w:rsidRPr="000B2783">
        <w:rPr>
          <w:color w:val="002060"/>
        </w:rPr>
        <w:t xml:space="preserve">loan servicing company </w:t>
      </w:r>
      <w:r w:rsidRPr="000B2783">
        <w:rPr>
          <w:color w:val="002060"/>
        </w:rPr>
        <w:t>will provide technical assistance, ensure all required documentation is provided, and structure the loan terms in collaboration with the borrower. The committee</w:t>
      </w:r>
      <w:r w:rsidR="002A4EFB" w:rsidRPr="000B2783">
        <w:rPr>
          <w:color w:val="002060"/>
        </w:rPr>
        <w:t xml:space="preserve"> or </w:t>
      </w:r>
      <w:r w:rsidR="000B2783" w:rsidRPr="000B2783">
        <w:rPr>
          <w:color w:val="002060"/>
        </w:rPr>
        <w:t xml:space="preserve">loan servicing company </w:t>
      </w:r>
      <w:r w:rsidRPr="000B2783">
        <w:rPr>
          <w:color w:val="002060"/>
        </w:rPr>
        <w:t>will monitor</w:t>
      </w:r>
      <w:r w:rsidRPr="003C484C">
        <w:rPr>
          <w:color w:val="263A85"/>
        </w:rPr>
        <w:t xml:space="preserve"> loan performance, handle repayment schedules, and manage security agreements.</w:t>
      </w:r>
    </w:p>
    <w:p w14:paraId="0D0A2B0E" w14:textId="77777777" w:rsidR="0071059E" w:rsidRPr="003C484C" w:rsidRDefault="0071059E" w:rsidP="004A490A">
      <w:pPr>
        <w:pStyle w:val="NoSpacing"/>
        <w:rPr>
          <w:color w:val="263A85"/>
        </w:rPr>
      </w:pPr>
    </w:p>
    <w:p w14:paraId="6644C981" w14:textId="77777777" w:rsidR="00C91C0E" w:rsidRPr="0071059E" w:rsidRDefault="00C91C0E" w:rsidP="004A490A">
      <w:pPr>
        <w:pStyle w:val="NoSpacing"/>
        <w:rPr>
          <w:b/>
          <w:bCs/>
          <w:color w:val="263A85"/>
          <w:sz w:val="24"/>
          <w:szCs w:val="24"/>
        </w:rPr>
      </w:pPr>
      <w:r w:rsidRPr="0071059E">
        <w:rPr>
          <w:b/>
          <w:bCs/>
          <w:color w:val="263A85"/>
          <w:sz w:val="24"/>
          <w:szCs w:val="24"/>
        </w:rPr>
        <w:t>Special Considerations:</w:t>
      </w:r>
    </w:p>
    <w:p w14:paraId="77F3405D" w14:textId="078D0BBF" w:rsidR="00C91C0E" w:rsidRPr="003C484C" w:rsidRDefault="000B2783" w:rsidP="008B5E96">
      <w:pPr>
        <w:pStyle w:val="NoSpacing"/>
        <w:numPr>
          <w:ilvl w:val="0"/>
          <w:numId w:val="9"/>
        </w:numPr>
        <w:rPr>
          <w:color w:val="263A85"/>
        </w:rPr>
      </w:pPr>
      <w:r>
        <w:rPr>
          <w:color w:val="263A85"/>
        </w:rPr>
        <w:t>A security agreement will secure loans</w:t>
      </w:r>
      <w:r w:rsidR="00C91C0E" w:rsidRPr="003C484C">
        <w:rPr>
          <w:color w:val="263A85"/>
        </w:rPr>
        <w:t>, and the borrower must provide a personal guarantee.</w:t>
      </w:r>
    </w:p>
    <w:p w14:paraId="49F91C35" w14:textId="74A8ED27" w:rsidR="00C91C0E" w:rsidRPr="003C484C" w:rsidRDefault="00C91C0E" w:rsidP="008B5E96">
      <w:pPr>
        <w:pStyle w:val="NoSpacing"/>
        <w:numPr>
          <w:ilvl w:val="0"/>
          <w:numId w:val="9"/>
        </w:numPr>
        <w:rPr>
          <w:color w:val="263A85"/>
        </w:rPr>
      </w:pPr>
      <w:r w:rsidRPr="003C484C">
        <w:rPr>
          <w:color w:val="263A85"/>
        </w:rPr>
        <w:t xml:space="preserve">A ratio will be developed to determine adequate personal, </w:t>
      </w:r>
      <w:r w:rsidR="00520EF1">
        <w:rPr>
          <w:color w:val="263A85"/>
        </w:rPr>
        <w:t xml:space="preserve">local, </w:t>
      </w:r>
      <w:r w:rsidRPr="003C484C">
        <w:rPr>
          <w:color w:val="263A85"/>
        </w:rPr>
        <w:t>and bank participation in the project.</w:t>
      </w:r>
    </w:p>
    <w:p w14:paraId="74BBF0CC" w14:textId="77777777" w:rsidR="00C91C0E" w:rsidRPr="003C484C" w:rsidRDefault="00C91C0E" w:rsidP="008B5E96">
      <w:pPr>
        <w:pStyle w:val="NoSpacing"/>
        <w:numPr>
          <w:ilvl w:val="0"/>
          <w:numId w:val="9"/>
        </w:numPr>
        <w:rPr>
          <w:color w:val="263A85"/>
        </w:rPr>
      </w:pPr>
      <w:r w:rsidRPr="003C484C">
        <w:rPr>
          <w:color w:val="263A85"/>
        </w:rPr>
        <w:t>Applicants must demonstrate a clear understanding of the project’s market area, sustainability, and regional impact.</w:t>
      </w:r>
    </w:p>
    <w:p w14:paraId="34FC1F79" w14:textId="77777777" w:rsidR="00E10337" w:rsidRPr="003C484C" w:rsidRDefault="00E10337">
      <w:pPr>
        <w:rPr>
          <w:color w:val="263A85"/>
        </w:rPr>
      </w:pPr>
    </w:p>
    <w:sectPr w:rsidR="00E10337" w:rsidRPr="003C484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505E1" w14:textId="77777777" w:rsidR="004A6DD8" w:rsidRDefault="004A6DD8" w:rsidP="00D47715">
      <w:pPr>
        <w:spacing w:after="0" w:line="240" w:lineRule="auto"/>
      </w:pPr>
      <w:r>
        <w:separator/>
      </w:r>
    </w:p>
  </w:endnote>
  <w:endnote w:type="continuationSeparator" w:id="0">
    <w:p w14:paraId="17CBE1DD" w14:textId="77777777" w:rsidR="004A6DD8" w:rsidRDefault="004A6DD8" w:rsidP="00D4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14ECE" w14:textId="77777777" w:rsidR="00D47715" w:rsidRDefault="00D47715" w:rsidP="00D47715">
    <w:pPr>
      <w:pStyle w:val="Footer"/>
      <w:jc w:val="right"/>
      <w:rPr>
        <w:color w:val="0E8744"/>
        <w:sz w:val="20"/>
        <w:szCs w:val="20"/>
      </w:rPr>
    </w:pPr>
    <w:r>
      <w:rPr>
        <w:noProof/>
        <w:color w:val="0E8744"/>
        <w:sz w:val="20"/>
        <w:szCs w:val="20"/>
      </w:rPr>
      <w:drawing>
        <wp:anchor distT="0" distB="0" distL="114300" distR="114300" simplePos="0" relativeHeight="251658752" behindDoc="0" locked="0" layoutInCell="1" allowOverlap="1" wp14:anchorId="052756EA" wp14:editId="513E0E9F">
          <wp:simplePos x="0" y="0"/>
          <wp:positionH relativeFrom="column">
            <wp:posOffset>4068445</wp:posOffset>
          </wp:positionH>
          <wp:positionV relativeFrom="paragraph">
            <wp:posOffset>111712</wp:posOffset>
          </wp:positionV>
          <wp:extent cx="1877076" cy="480900"/>
          <wp:effectExtent l="0" t="0" r="0" b="0"/>
          <wp:wrapNone/>
          <wp:docPr id="1983776658" name="Picture 3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776658" name="Picture 3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076" cy="480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B907C8" w14:textId="77777777" w:rsidR="00D47715" w:rsidRDefault="00D47715" w:rsidP="00D47715">
    <w:pPr>
      <w:pStyle w:val="Footer"/>
      <w:rPr>
        <w:color w:val="0E8744"/>
        <w:sz w:val="20"/>
        <w:szCs w:val="20"/>
      </w:rPr>
    </w:pPr>
  </w:p>
  <w:p w14:paraId="7D6C606A" w14:textId="77777777" w:rsidR="00D47715" w:rsidRDefault="00D47715" w:rsidP="00D47715">
    <w:pPr>
      <w:pStyle w:val="Footer"/>
      <w:rPr>
        <w:color w:val="0E8744"/>
        <w:sz w:val="20"/>
        <w:szCs w:val="20"/>
      </w:rPr>
    </w:pPr>
  </w:p>
  <w:p w14:paraId="41BBBDC4" w14:textId="77777777" w:rsidR="00D47715" w:rsidRDefault="00D47715" w:rsidP="00D47715">
    <w:pPr>
      <w:pStyle w:val="Footer"/>
      <w:rPr>
        <w:color w:val="0E8744"/>
        <w:sz w:val="20"/>
        <w:szCs w:val="20"/>
      </w:rPr>
    </w:pPr>
  </w:p>
  <w:p w14:paraId="5A6BDA66" w14:textId="77777777" w:rsidR="00D47715" w:rsidRDefault="00D47715" w:rsidP="00D47715">
    <w:pPr>
      <w:pStyle w:val="Footer"/>
      <w:rPr>
        <w:noProof/>
        <w:color w:val="0E8744"/>
        <w:sz w:val="18"/>
        <w:szCs w:val="18"/>
      </w:rPr>
    </w:pPr>
  </w:p>
  <w:p w14:paraId="76A65EDB" w14:textId="77777777" w:rsidR="00D47715" w:rsidRDefault="00D47715" w:rsidP="00D47715">
    <w:pPr>
      <w:pStyle w:val="Footer"/>
      <w:rPr>
        <w:noProof/>
        <w:color w:val="0E8744"/>
        <w:sz w:val="18"/>
        <w:szCs w:val="18"/>
      </w:rPr>
    </w:pPr>
  </w:p>
  <w:p w14:paraId="71D92D1D" w14:textId="0F6F9A77" w:rsidR="00D47715" w:rsidRDefault="00D47715" w:rsidP="004C08A8">
    <w:pPr>
      <w:pStyle w:val="Footer"/>
      <w:jc w:val="center"/>
      <w:rPr>
        <w:color w:val="0E8744"/>
        <w:sz w:val="18"/>
        <w:szCs w:val="18"/>
      </w:rPr>
    </w:pPr>
    <w:proofErr w:type="gramStart"/>
    <w:r w:rsidRPr="006D61AE">
      <w:rPr>
        <w:color w:val="0E8744"/>
        <w:sz w:val="18"/>
        <w:szCs w:val="18"/>
      </w:rPr>
      <w:t>701.573.6092  |</w:t>
    </w:r>
    <w:proofErr w:type="gramEnd"/>
    <w:r w:rsidRPr="006D61AE">
      <w:rPr>
        <w:color w:val="0E8744"/>
        <w:sz w:val="18"/>
        <w:szCs w:val="18"/>
      </w:rPr>
      <w:t xml:space="preserve">  carie.boster@dunncountynd.</w:t>
    </w:r>
    <w:r w:rsidR="00176038">
      <w:rPr>
        <w:color w:val="0E8744"/>
        <w:sz w:val="18"/>
        <w:szCs w:val="18"/>
      </w:rPr>
      <w:t>gov</w:t>
    </w:r>
    <w:r w:rsidRPr="006D61AE">
      <w:rPr>
        <w:color w:val="0E8744"/>
        <w:sz w:val="18"/>
        <w:szCs w:val="18"/>
      </w:rPr>
      <w:t xml:space="preserve">  |  205 Owens St.  </w:t>
    </w:r>
    <w:proofErr w:type="gramStart"/>
    <w:r w:rsidRPr="006D61AE">
      <w:rPr>
        <w:color w:val="0E8744"/>
        <w:sz w:val="18"/>
        <w:szCs w:val="18"/>
      </w:rPr>
      <w:t>|  Manning</w:t>
    </w:r>
    <w:proofErr w:type="gramEnd"/>
    <w:r w:rsidRPr="006D61AE">
      <w:rPr>
        <w:color w:val="0E8744"/>
        <w:sz w:val="18"/>
        <w:szCs w:val="18"/>
      </w:rPr>
      <w:t xml:space="preserve">, ND 58642 </w:t>
    </w:r>
    <w:r w:rsidRPr="006D61AE">
      <w:rPr>
        <w:color w:val="0E8744"/>
        <w:sz w:val="18"/>
        <w:szCs w:val="18"/>
      </w:rPr>
      <w:tab/>
      <w:t>v100</w:t>
    </w:r>
    <w:r>
      <w:rPr>
        <w:color w:val="0E8744"/>
        <w:sz w:val="18"/>
        <w:szCs w:val="18"/>
      </w:rPr>
      <w:t>9</w:t>
    </w:r>
    <w:r w:rsidRPr="006D61AE">
      <w:rPr>
        <w:color w:val="0E8744"/>
        <w:sz w:val="18"/>
        <w:szCs w:val="18"/>
      </w:rPr>
      <w:t>24</w:t>
    </w:r>
  </w:p>
  <w:p w14:paraId="476E4A0B" w14:textId="77777777" w:rsidR="004C08A8" w:rsidRPr="004C08A8" w:rsidRDefault="004C08A8" w:rsidP="004C08A8">
    <w:pPr>
      <w:pStyle w:val="Footer"/>
      <w:jc w:val="center"/>
      <w:rPr>
        <w:color w:val="0E8744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4AFD6" w14:textId="77777777" w:rsidR="004A6DD8" w:rsidRDefault="004A6DD8" w:rsidP="00D47715">
      <w:pPr>
        <w:spacing w:after="0" w:line="240" w:lineRule="auto"/>
      </w:pPr>
      <w:r>
        <w:separator/>
      </w:r>
    </w:p>
  </w:footnote>
  <w:footnote w:type="continuationSeparator" w:id="0">
    <w:p w14:paraId="5BF1516B" w14:textId="77777777" w:rsidR="004A6DD8" w:rsidRDefault="004A6DD8" w:rsidP="00D47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4ECB"/>
    <w:multiLevelType w:val="multilevel"/>
    <w:tmpl w:val="61D4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61BBA"/>
    <w:multiLevelType w:val="hybridMultilevel"/>
    <w:tmpl w:val="BE30B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13601"/>
    <w:multiLevelType w:val="hybridMultilevel"/>
    <w:tmpl w:val="2898A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6139B"/>
    <w:multiLevelType w:val="hybridMultilevel"/>
    <w:tmpl w:val="9000F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65322"/>
    <w:multiLevelType w:val="multilevel"/>
    <w:tmpl w:val="61D4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7C4963"/>
    <w:multiLevelType w:val="hybridMultilevel"/>
    <w:tmpl w:val="2F6CC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31A0E"/>
    <w:multiLevelType w:val="hybridMultilevel"/>
    <w:tmpl w:val="8708A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A51E6"/>
    <w:multiLevelType w:val="hybridMultilevel"/>
    <w:tmpl w:val="49F6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9113C"/>
    <w:multiLevelType w:val="multilevel"/>
    <w:tmpl w:val="61D4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8C5790"/>
    <w:multiLevelType w:val="multilevel"/>
    <w:tmpl w:val="61D4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C0E"/>
    <w:rsid w:val="00065891"/>
    <w:rsid w:val="000B048A"/>
    <w:rsid w:val="000B2783"/>
    <w:rsid w:val="000B542D"/>
    <w:rsid w:val="000D4436"/>
    <w:rsid w:val="00176038"/>
    <w:rsid w:val="00196409"/>
    <w:rsid w:val="00201909"/>
    <w:rsid w:val="002A4EFB"/>
    <w:rsid w:val="00321518"/>
    <w:rsid w:val="003C484C"/>
    <w:rsid w:val="00415482"/>
    <w:rsid w:val="004A490A"/>
    <w:rsid w:val="004A6DD8"/>
    <w:rsid w:val="004C08A8"/>
    <w:rsid w:val="004D3FF8"/>
    <w:rsid w:val="00520EF1"/>
    <w:rsid w:val="00523AA4"/>
    <w:rsid w:val="0053209F"/>
    <w:rsid w:val="005F411E"/>
    <w:rsid w:val="006005EC"/>
    <w:rsid w:val="00685D9D"/>
    <w:rsid w:val="006C38EF"/>
    <w:rsid w:val="006D15D5"/>
    <w:rsid w:val="0071059E"/>
    <w:rsid w:val="00754CFE"/>
    <w:rsid w:val="007A0CF7"/>
    <w:rsid w:val="00812557"/>
    <w:rsid w:val="008B5E96"/>
    <w:rsid w:val="00902626"/>
    <w:rsid w:val="00964D91"/>
    <w:rsid w:val="00975D04"/>
    <w:rsid w:val="00AA77B4"/>
    <w:rsid w:val="00AE556C"/>
    <w:rsid w:val="00B911DD"/>
    <w:rsid w:val="00B955C2"/>
    <w:rsid w:val="00BA52CE"/>
    <w:rsid w:val="00C05BFB"/>
    <w:rsid w:val="00C24B8E"/>
    <w:rsid w:val="00C91C0E"/>
    <w:rsid w:val="00D47715"/>
    <w:rsid w:val="00D80BC5"/>
    <w:rsid w:val="00DD5B9C"/>
    <w:rsid w:val="00DE1BC4"/>
    <w:rsid w:val="00DE2B75"/>
    <w:rsid w:val="00E10337"/>
    <w:rsid w:val="00E4355A"/>
    <w:rsid w:val="00F23CFB"/>
    <w:rsid w:val="00F9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4D4989B9"/>
  <w15:chartTrackingRefBased/>
  <w15:docId w15:val="{B4F4E5ED-0975-48EF-8B87-366809DB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C0E"/>
  </w:style>
  <w:style w:type="paragraph" w:styleId="Heading1">
    <w:name w:val="heading 1"/>
    <w:basedOn w:val="Normal"/>
    <w:next w:val="Normal"/>
    <w:link w:val="Heading1Char"/>
    <w:uiPriority w:val="9"/>
    <w:qFormat/>
    <w:rsid w:val="00C91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C0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D3F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7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15"/>
  </w:style>
  <w:style w:type="paragraph" w:styleId="Footer">
    <w:name w:val="footer"/>
    <w:basedOn w:val="Normal"/>
    <w:link w:val="FooterChar"/>
    <w:uiPriority w:val="99"/>
    <w:unhideWhenUsed/>
    <w:rsid w:val="00D47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A002F-291A-444B-8CB3-2CF83FE8E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364</Words>
  <Characters>2135</Characters>
  <Application>Microsoft Office Word</Application>
  <DocSecurity>0</DocSecurity>
  <Lines>54</Lines>
  <Paragraphs>39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Teran Doerr</dc:creator>
  <cp:keywords/>
  <dc:description/>
  <cp:lastModifiedBy>Carie Boster</cp:lastModifiedBy>
  <cp:revision>37</cp:revision>
  <dcterms:created xsi:type="dcterms:W3CDTF">2024-09-23T20:17:00Z</dcterms:created>
  <dcterms:modified xsi:type="dcterms:W3CDTF">2025-01-08T19:49:00Z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c327da634a4a7ff06590122995b4e5348fd41bbd3d3c4d48e4042f087595dea9</vt:lpwstr>
  </property>
</Properties>
</file>