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DC4" w14:textId="219C9457" w:rsidR="004B4712" w:rsidRDefault="00BA0DAE" w:rsidP="004B4712">
      <w:pPr>
        <w:pStyle w:val="NoSpacing"/>
        <w:spacing w:line="276" w:lineRule="auto"/>
        <w:rPr>
          <w:b/>
          <w:bCs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C3EFA04" wp14:editId="6AAC5356">
            <wp:simplePos x="0" y="0"/>
            <wp:positionH relativeFrom="column">
              <wp:posOffset>5031105</wp:posOffset>
            </wp:positionH>
            <wp:positionV relativeFrom="paragraph">
              <wp:posOffset>-230145</wp:posOffset>
            </wp:positionV>
            <wp:extent cx="879475" cy="879475"/>
            <wp:effectExtent l="0" t="0" r="0" b="0"/>
            <wp:wrapNone/>
            <wp:docPr id="1330662161" name="Picture 1" descr="A green arrow pointing down with a perc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62161" name="Picture 1" descr="A green arrow pointing down with a percent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712" w:rsidRPr="00353DF9">
        <w:rPr>
          <w:i/>
          <w:iCs/>
          <w:color w:val="0E8744"/>
          <w:sz w:val="32"/>
          <w:szCs w:val="32"/>
        </w:rPr>
        <w:t xml:space="preserve">DUNN </w:t>
      </w:r>
      <w:r w:rsidR="004B4712" w:rsidRPr="00834C70">
        <w:rPr>
          <w:i/>
          <w:iCs/>
          <w:color w:val="0E8744"/>
          <w:sz w:val="32"/>
          <w:szCs w:val="32"/>
        </w:rPr>
        <w:t>COUNTY</w:t>
      </w:r>
    </w:p>
    <w:p w14:paraId="7D16BD51" w14:textId="69893ADF" w:rsidR="004B4712" w:rsidRPr="00353DF9" w:rsidRDefault="00F45199" w:rsidP="004B4712">
      <w:pPr>
        <w:pStyle w:val="NoSpacing"/>
        <w:rPr>
          <w:b/>
          <w:bCs/>
          <w:sz w:val="48"/>
          <w:szCs w:val="48"/>
        </w:rPr>
      </w:pPr>
      <w:r>
        <w:rPr>
          <w:b/>
          <w:bCs/>
          <w:color w:val="263A85"/>
          <w:sz w:val="48"/>
          <w:szCs w:val="48"/>
        </w:rPr>
        <w:t>Interest</w:t>
      </w:r>
      <w:r w:rsidR="0097248E">
        <w:rPr>
          <w:b/>
          <w:bCs/>
          <w:color w:val="263A85"/>
          <w:sz w:val="48"/>
          <w:szCs w:val="48"/>
        </w:rPr>
        <w:br/>
      </w:r>
      <w:r>
        <w:rPr>
          <w:b/>
          <w:bCs/>
          <w:color w:val="263A85"/>
          <w:sz w:val="48"/>
          <w:szCs w:val="48"/>
        </w:rPr>
        <w:t>Buy-Down</w:t>
      </w:r>
      <w:r w:rsidR="004B4712" w:rsidRPr="00353DF9">
        <w:rPr>
          <w:b/>
          <w:bCs/>
          <w:color w:val="263A85"/>
          <w:sz w:val="48"/>
          <w:szCs w:val="48"/>
        </w:rPr>
        <w:t xml:space="preserve"> Program</w:t>
      </w:r>
    </w:p>
    <w:p w14:paraId="6C69D9D0" w14:textId="77777777" w:rsidR="004B4712" w:rsidRPr="008F6042" w:rsidRDefault="00177448" w:rsidP="004B4712">
      <w:pPr>
        <w:pStyle w:val="NoSpacing"/>
      </w:pPr>
      <w:r>
        <w:rPr>
          <w:noProof/>
        </w:rPr>
        <w:pict w14:anchorId="253DE5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pt;margin-top:9.1pt;width:467.1pt;height:0;z-index:251658241" o:connectortype="straight" strokecolor="#263a85" strokeweight="2.5pt"/>
        </w:pict>
      </w:r>
    </w:p>
    <w:p w14:paraId="174DACB8" w14:textId="77777777" w:rsidR="004B4712" w:rsidRDefault="004B4712" w:rsidP="007A0609">
      <w:pPr>
        <w:pStyle w:val="NoSpacing"/>
      </w:pPr>
    </w:p>
    <w:p w14:paraId="3C7905D7" w14:textId="56279F29" w:rsidR="00033DC3" w:rsidRPr="0021144E" w:rsidRDefault="00033DC3" w:rsidP="007A0609">
      <w:pPr>
        <w:pStyle w:val="NoSpacing"/>
        <w:rPr>
          <w:color w:val="263A85"/>
        </w:rPr>
      </w:pPr>
      <w:r w:rsidRPr="0021144E">
        <w:rPr>
          <w:color w:val="263A85"/>
        </w:rPr>
        <w:t xml:space="preserve">The Interest Buy-Down Program is designed to assist businesses, childcare facilities, affordable housing projects, </w:t>
      </w:r>
      <w:r w:rsidRPr="0097248E">
        <w:rPr>
          <w:color w:val="263A85"/>
        </w:rPr>
        <w:t>farmers,</w:t>
      </w:r>
      <w:r w:rsidRPr="0021144E">
        <w:rPr>
          <w:color w:val="263A85"/>
        </w:rPr>
        <w:t xml:space="preserve"> and other entities by reducing </w:t>
      </w:r>
      <w:r w:rsidR="00177448">
        <w:rPr>
          <w:color w:val="263A85"/>
        </w:rPr>
        <w:t>loan interest rates</w:t>
      </w:r>
      <w:r w:rsidRPr="0021144E">
        <w:rPr>
          <w:color w:val="263A85"/>
        </w:rPr>
        <w:t>. The program works through Flex PACE, PACE, and various sector-specific options to support a range of critical industries and services in Dunn County.</w:t>
      </w:r>
    </w:p>
    <w:p w14:paraId="072D106A" w14:textId="77777777" w:rsidR="005D5A1D" w:rsidRPr="0021144E" w:rsidRDefault="005D5A1D" w:rsidP="007A0609">
      <w:pPr>
        <w:pStyle w:val="NoSpacing"/>
        <w:rPr>
          <w:color w:val="263A85"/>
        </w:rPr>
      </w:pPr>
    </w:p>
    <w:p w14:paraId="397E9314" w14:textId="7771522D" w:rsidR="00033DC3" w:rsidRPr="002A3985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r w:rsidRPr="002A3985">
        <w:rPr>
          <w:b/>
          <w:bCs/>
          <w:color w:val="263A85"/>
          <w:sz w:val="24"/>
          <w:szCs w:val="24"/>
        </w:rPr>
        <w:t>Flex PACE</w:t>
      </w:r>
    </w:p>
    <w:p w14:paraId="1A269F0F" w14:textId="4C7A2B5A" w:rsidR="002A3985" w:rsidRDefault="00177448" w:rsidP="007A0609">
      <w:pPr>
        <w:pStyle w:val="NoSpacing"/>
        <w:rPr>
          <w:color w:val="263A85"/>
        </w:rPr>
      </w:pPr>
      <w:r>
        <w:rPr>
          <w:noProof/>
          <w:color w:val="263A85"/>
        </w:rPr>
        <w:pict w14:anchorId="0F7C8B5A">
          <v:shape id="_x0000_s1027" type="#_x0000_t32" style="position:absolute;margin-left:-1.4pt;margin-top:2.5pt;width:311.9pt;height:0;z-index:251658242" o:connectortype="straight" strokecolor="#0e8744"/>
        </w:pict>
      </w:r>
    </w:p>
    <w:p w14:paraId="7CBB19CA" w14:textId="41CEC990" w:rsidR="00834C70" w:rsidRPr="00834C70" w:rsidRDefault="00834C70" w:rsidP="007A0609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033DC3" w:rsidRPr="00834C70">
        <w:rPr>
          <w:b/>
          <w:bCs/>
          <w:color w:val="0E8744"/>
          <w:u w:val="single"/>
        </w:rPr>
        <w:t xml:space="preserve">Eligible Projects: </w:t>
      </w:r>
    </w:p>
    <w:p w14:paraId="4AA975FA" w14:textId="5EB6DCE5" w:rsidR="00834C70" w:rsidRDefault="00033DC3" w:rsidP="00834C70">
      <w:pPr>
        <w:pStyle w:val="NoSpacing"/>
        <w:numPr>
          <w:ilvl w:val="0"/>
          <w:numId w:val="8"/>
        </w:numPr>
        <w:rPr>
          <w:color w:val="263A85"/>
        </w:rPr>
      </w:pPr>
      <w:r w:rsidRPr="0021144E">
        <w:rPr>
          <w:color w:val="263A85"/>
        </w:rPr>
        <w:t>Businesses</w:t>
      </w:r>
    </w:p>
    <w:p w14:paraId="7E713CDC" w14:textId="28451BFA" w:rsidR="00834C70" w:rsidRDefault="00834C70" w:rsidP="00834C70">
      <w:pPr>
        <w:pStyle w:val="NoSpacing"/>
        <w:numPr>
          <w:ilvl w:val="0"/>
          <w:numId w:val="8"/>
        </w:numPr>
        <w:rPr>
          <w:color w:val="263A85"/>
        </w:rPr>
      </w:pPr>
      <w:r>
        <w:rPr>
          <w:color w:val="263A85"/>
        </w:rPr>
        <w:t>C</w:t>
      </w:r>
      <w:r w:rsidR="00033DC3" w:rsidRPr="0021144E">
        <w:rPr>
          <w:color w:val="263A85"/>
        </w:rPr>
        <w:t>hildcare facilities</w:t>
      </w:r>
    </w:p>
    <w:p w14:paraId="47DD3BD5" w14:textId="7E4F170A" w:rsidR="00033DC3" w:rsidRPr="0021144E" w:rsidRDefault="00834C70" w:rsidP="00834C70">
      <w:pPr>
        <w:pStyle w:val="NoSpacing"/>
        <w:numPr>
          <w:ilvl w:val="0"/>
          <w:numId w:val="8"/>
        </w:numPr>
        <w:rPr>
          <w:color w:val="263A85"/>
        </w:rPr>
      </w:pPr>
      <w:r>
        <w:rPr>
          <w:color w:val="263A85"/>
        </w:rPr>
        <w:t>A</w:t>
      </w:r>
      <w:r w:rsidR="00033DC3" w:rsidRPr="0021144E">
        <w:rPr>
          <w:color w:val="263A85"/>
        </w:rPr>
        <w:t>ffordable housing projects</w:t>
      </w:r>
    </w:p>
    <w:p w14:paraId="1B86947C" w14:textId="77777777" w:rsidR="00834C70" w:rsidRDefault="00834C70" w:rsidP="007A0609">
      <w:pPr>
        <w:pStyle w:val="NoSpacing"/>
        <w:rPr>
          <w:color w:val="263A85"/>
        </w:rPr>
      </w:pPr>
    </w:p>
    <w:p w14:paraId="0D4D44DB" w14:textId="4C99316E" w:rsidR="00033DC3" w:rsidRPr="00834C70" w:rsidRDefault="00834C70" w:rsidP="007A0609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033DC3" w:rsidRPr="00834C70">
        <w:rPr>
          <w:b/>
          <w:bCs/>
          <w:color w:val="0E8744"/>
          <w:u w:val="single"/>
        </w:rPr>
        <w:t>Interest Buydown Amount:</w:t>
      </w:r>
    </w:p>
    <w:p w14:paraId="68573D4E" w14:textId="77777777" w:rsidR="00033DC3" w:rsidRPr="0021144E" w:rsidRDefault="00033DC3" w:rsidP="00834C70">
      <w:pPr>
        <w:pStyle w:val="NoSpacing"/>
        <w:numPr>
          <w:ilvl w:val="0"/>
          <w:numId w:val="9"/>
        </w:numPr>
        <w:rPr>
          <w:color w:val="263A85"/>
        </w:rPr>
      </w:pPr>
      <w:r w:rsidRPr="0021144E">
        <w:rPr>
          <w:color w:val="263A85"/>
        </w:rPr>
        <w:t>Up to $200,000 for businesses.</w:t>
      </w:r>
    </w:p>
    <w:p w14:paraId="75D7B891" w14:textId="7F257035" w:rsidR="00033DC3" w:rsidRPr="0021144E" w:rsidRDefault="00033DC3" w:rsidP="00834C70">
      <w:pPr>
        <w:pStyle w:val="NoSpacing"/>
        <w:numPr>
          <w:ilvl w:val="0"/>
          <w:numId w:val="9"/>
        </w:numPr>
        <w:rPr>
          <w:color w:val="263A85"/>
        </w:rPr>
      </w:pPr>
      <w:r w:rsidRPr="0021144E">
        <w:rPr>
          <w:color w:val="263A85"/>
        </w:rPr>
        <w:t>Up to $300,000 for non-residential childcare projects, new or expanding.</w:t>
      </w:r>
    </w:p>
    <w:p w14:paraId="6FD08DB5" w14:textId="22C3D7F6" w:rsidR="00033DC3" w:rsidRPr="0021144E" w:rsidRDefault="00033DC3" w:rsidP="00834C70">
      <w:pPr>
        <w:pStyle w:val="NoSpacing"/>
        <w:numPr>
          <w:ilvl w:val="0"/>
          <w:numId w:val="9"/>
        </w:numPr>
        <w:rPr>
          <w:color w:val="263A85"/>
        </w:rPr>
      </w:pPr>
      <w:r w:rsidRPr="0021144E">
        <w:rPr>
          <w:color w:val="263A85"/>
        </w:rPr>
        <w:t>Up to $500,000 for new affordable multi-family housing units.</w:t>
      </w:r>
    </w:p>
    <w:p w14:paraId="1C89BCC7" w14:textId="77777777" w:rsidR="00834C70" w:rsidRDefault="00834C70" w:rsidP="007A0609">
      <w:pPr>
        <w:pStyle w:val="NoSpacing"/>
        <w:rPr>
          <w:color w:val="263A85"/>
        </w:rPr>
      </w:pPr>
    </w:p>
    <w:p w14:paraId="1776BEFB" w14:textId="62B07565" w:rsidR="00834C70" w:rsidRPr="00E07A66" w:rsidRDefault="00E07A66" w:rsidP="007A0609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033DC3" w:rsidRPr="00E07A66">
        <w:rPr>
          <w:b/>
          <w:bCs/>
          <w:color w:val="0E8744"/>
          <w:u w:val="single"/>
        </w:rPr>
        <w:t xml:space="preserve">Usage: </w:t>
      </w:r>
    </w:p>
    <w:p w14:paraId="2ED93C7C" w14:textId="347C1678" w:rsidR="00033DC3" w:rsidRPr="0021144E" w:rsidRDefault="00033DC3" w:rsidP="00E07A66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Funds can be used to purchase real property, equipment, and certain working capital needs (excluding debt refinancing or relocation within ND).</w:t>
      </w:r>
    </w:p>
    <w:p w14:paraId="7182E7D6" w14:textId="77777777" w:rsidR="00E07A66" w:rsidRDefault="00E07A66" w:rsidP="00E07A66">
      <w:pPr>
        <w:pStyle w:val="NoSpacing"/>
        <w:rPr>
          <w:color w:val="263A85"/>
        </w:rPr>
      </w:pPr>
    </w:p>
    <w:p w14:paraId="48182548" w14:textId="2EFF5F86" w:rsidR="00E07A66" w:rsidRPr="00D9037E" w:rsidRDefault="00D9037E" w:rsidP="00E07A66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033DC3" w:rsidRPr="00D9037E">
        <w:rPr>
          <w:b/>
          <w:bCs/>
          <w:color w:val="0E8744"/>
          <w:u w:val="single"/>
        </w:rPr>
        <w:t xml:space="preserve">Community Match: </w:t>
      </w:r>
    </w:p>
    <w:p w14:paraId="5EF231E5" w14:textId="6BBC31EC" w:rsidR="00033DC3" w:rsidRDefault="00033DC3" w:rsidP="00D9037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The local community will match the buydown amount at a designated level</w:t>
      </w:r>
      <w:r w:rsidR="00187861">
        <w:rPr>
          <w:color w:val="263A85"/>
        </w:rPr>
        <w:t xml:space="preserve"> set by the Bank of North Dakota.</w:t>
      </w:r>
    </w:p>
    <w:p w14:paraId="4EC2D767" w14:textId="77777777" w:rsidR="006C0598" w:rsidRPr="0021144E" w:rsidRDefault="006C0598" w:rsidP="007A0609">
      <w:pPr>
        <w:pStyle w:val="NoSpacing"/>
        <w:rPr>
          <w:color w:val="263A85"/>
        </w:rPr>
      </w:pPr>
    </w:p>
    <w:p w14:paraId="0C70F7A9" w14:textId="50220FB5" w:rsidR="00033DC3" w:rsidRPr="00D9037E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r w:rsidRPr="00D9037E">
        <w:rPr>
          <w:b/>
          <w:bCs/>
          <w:color w:val="263A85"/>
          <w:sz w:val="24"/>
          <w:szCs w:val="24"/>
        </w:rPr>
        <w:t>PACE</w:t>
      </w:r>
    </w:p>
    <w:p w14:paraId="2BE24D30" w14:textId="351767EA" w:rsidR="00D9037E" w:rsidRDefault="00177448" w:rsidP="007A0609">
      <w:pPr>
        <w:pStyle w:val="NoSpacing"/>
        <w:rPr>
          <w:color w:val="263A85"/>
        </w:rPr>
      </w:pPr>
      <w:r>
        <w:rPr>
          <w:noProof/>
          <w:color w:val="263A85"/>
        </w:rPr>
        <w:pict w14:anchorId="0F7C8B5A">
          <v:shape id="_x0000_s1028" type="#_x0000_t32" style="position:absolute;margin-left:.9pt;margin-top:2.1pt;width:311.9pt;height:0;z-index:251658243" o:connectortype="straight" strokecolor="#0e8744"/>
        </w:pict>
      </w:r>
    </w:p>
    <w:p w14:paraId="6518B5E5" w14:textId="474F3EB5" w:rsidR="00D9037E" w:rsidRPr="00D9037E" w:rsidRDefault="00D9037E" w:rsidP="007A0609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033DC3" w:rsidRPr="00D9037E">
        <w:rPr>
          <w:b/>
          <w:bCs/>
          <w:color w:val="0E8744"/>
          <w:u w:val="single"/>
        </w:rPr>
        <w:t xml:space="preserve">Eligible Projects: </w:t>
      </w:r>
    </w:p>
    <w:p w14:paraId="64D9BD39" w14:textId="65A53CB9" w:rsidR="00033DC3" w:rsidRDefault="00033DC3" w:rsidP="00D9037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Primary sector businesses, as defined by NDCC 1-01-49</w:t>
      </w:r>
      <w:r w:rsidR="00907F1E">
        <w:rPr>
          <w:color w:val="263A85"/>
        </w:rPr>
        <w:t xml:space="preserve"> and certified by the North Dakota Department of Commerce.</w:t>
      </w:r>
    </w:p>
    <w:p w14:paraId="2FB2BE08" w14:textId="4E28F835" w:rsidR="00907F1E" w:rsidRPr="00907F1E" w:rsidRDefault="00907F1E" w:rsidP="00907F1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For businesses that create new wealth by selling products or services outside North Dakota or offering previously unavailable products or services within the state.</w:t>
      </w:r>
    </w:p>
    <w:p w14:paraId="318978C3" w14:textId="77777777" w:rsidR="00D9037E" w:rsidRDefault="00D9037E" w:rsidP="00D9037E">
      <w:pPr>
        <w:pStyle w:val="NoSpacing"/>
        <w:rPr>
          <w:color w:val="263A85"/>
        </w:rPr>
      </w:pPr>
    </w:p>
    <w:p w14:paraId="6C56EA48" w14:textId="2D4A18B2" w:rsidR="00D9037E" w:rsidRPr="00D9037E" w:rsidRDefault="00D9037E" w:rsidP="00D9037E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Pr="00D9037E">
        <w:rPr>
          <w:b/>
          <w:bCs/>
          <w:color w:val="0E8744"/>
          <w:u w:val="single"/>
        </w:rPr>
        <w:t xml:space="preserve">Interest Buydown: </w:t>
      </w:r>
    </w:p>
    <w:p w14:paraId="22DA0F9C" w14:textId="01EFECAA" w:rsidR="00D9037E" w:rsidRPr="0021144E" w:rsidRDefault="00D9037E" w:rsidP="00D9037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Helps expand the economic base by assisting businesses with job creation and investment.</w:t>
      </w:r>
    </w:p>
    <w:p w14:paraId="31C76D86" w14:textId="0810284B" w:rsidR="00D9037E" w:rsidRPr="00D9037E" w:rsidRDefault="00D9037E" w:rsidP="007A0609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lastRenderedPageBreak/>
        <w:t xml:space="preserve">     </w:t>
      </w:r>
      <w:r w:rsidR="00033DC3" w:rsidRPr="00D9037E">
        <w:rPr>
          <w:b/>
          <w:bCs/>
          <w:color w:val="0E8744"/>
          <w:u w:val="single"/>
        </w:rPr>
        <w:t xml:space="preserve">Usage: </w:t>
      </w:r>
    </w:p>
    <w:p w14:paraId="1E4FF8AD" w14:textId="55603D2B" w:rsidR="00187861" w:rsidRDefault="001F7664" w:rsidP="007914C4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Funds can be used to purchase real property, equipment, and certain working capital needs (excluding debt refinancing or relocation within ND).</w:t>
      </w:r>
    </w:p>
    <w:p w14:paraId="6737A066" w14:textId="77777777" w:rsidR="007914C4" w:rsidRPr="007914C4" w:rsidRDefault="007914C4" w:rsidP="007914C4">
      <w:pPr>
        <w:pStyle w:val="NoSpacing"/>
        <w:rPr>
          <w:color w:val="263A85"/>
        </w:rPr>
      </w:pPr>
    </w:p>
    <w:p w14:paraId="14BFF9F1" w14:textId="4DFB24DC" w:rsidR="00D9037E" w:rsidRPr="00D9037E" w:rsidRDefault="00D9037E" w:rsidP="007A0609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033DC3" w:rsidRPr="00D9037E">
        <w:rPr>
          <w:b/>
          <w:bCs/>
          <w:color w:val="0E8744"/>
          <w:u w:val="single"/>
        </w:rPr>
        <w:t xml:space="preserve">Tier-Based Funding: </w:t>
      </w:r>
    </w:p>
    <w:p w14:paraId="4E614C26" w14:textId="7D03C596" w:rsidR="00033DC3" w:rsidRDefault="00033DC3" w:rsidP="00D9037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Determined by the number of jobs created.</w:t>
      </w:r>
    </w:p>
    <w:p w14:paraId="12FE8EFC" w14:textId="3A65EDF0" w:rsidR="00907F1E" w:rsidRDefault="00907F1E" w:rsidP="00D9037E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Up to $500,000 per biennium per borrower.</w:t>
      </w:r>
    </w:p>
    <w:p w14:paraId="4241CE9F" w14:textId="77777777" w:rsidR="006C0598" w:rsidRPr="0021144E" w:rsidRDefault="006C0598" w:rsidP="007A0609">
      <w:pPr>
        <w:pStyle w:val="NoSpacing"/>
        <w:rPr>
          <w:color w:val="263A85"/>
        </w:rPr>
      </w:pPr>
    </w:p>
    <w:p w14:paraId="4B550478" w14:textId="664BCC31" w:rsidR="00033DC3" w:rsidRPr="00BC00AB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r w:rsidRPr="00BC00AB">
        <w:rPr>
          <w:b/>
          <w:bCs/>
          <w:color w:val="263A85"/>
          <w:sz w:val="24"/>
          <w:szCs w:val="24"/>
        </w:rPr>
        <w:t>Ag PACE</w:t>
      </w:r>
    </w:p>
    <w:p w14:paraId="3651A032" w14:textId="65A433AA" w:rsidR="00BC00AB" w:rsidRDefault="00177448" w:rsidP="007A0609">
      <w:pPr>
        <w:pStyle w:val="NoSpacing"/>
        <w:rPr>
          <w:color w:val="263A85"/>
          <w:highlight w:val="yellow"/>
        </w:rPr>
      </w:pPr>
      <w:r>
        <w:rPr>
          <w:noProof/>
          <w:color w:val="263A85"/>
        </w:rPr>
        <w:pict w14:anchorId="0F7C8B5A">
          <v:shape id="_x0000_s1029" type="#_x0000_t32" style="position:absolute;margin-left:.1pt;margin-top:3.35pt;width:311.9pt;height:0;z-index:251658244" o:connectortype="straight" strokecolor="#0e8744"/>
        </w:pict>
      </w:r>
    </w:p>
    <w:p w14:paraId="78B32A4D" w14:textId="4906D73E" w:rsidR="00BC00AB" w:rsidRPr="00BC00AB" w:rsidRDefault="00BC00AB" w:rsidP="007A0609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033DC3" w:rsidRPr="00BC00AB">
        <w:rPr>
          <w:b/>
          <w:bCs/>
          <w:color w:val="0E8744"/>
          <w:u w:val="single"/>
        </w:rPr>
        <w:t>Eligible Projects:</w:t>
      </w:r>
    </w:p>
    <w:p w14:paraId="17993DB6" w14:textId="5276E644" w:rsidR="00033DC3" w:rsidRDefault="00CD7CB6" w:rsidP="00BC00AB">
      <w:pPr>
        <w:pStyle w:val="NoSpacing"/>
        <w:numPr>
          <w:ilvl w:val="0"/>
          <w:numId w:val="10"/>
        </w:numPr>
        <w:rPr>
          <w:color w:val="263A85"/>
        </w:rPr>
      </w:pPr>
      <w:r w:rsidRPr="00BC00AB">
        <w:rPr>
          <w:color w:val="263A85"/>
        </w:rPr>
        <w:t>Non-traditional</w:t>
      </w:r>
      <w:r w:rsidR="00033DC3" w:rsidRPr="00BC00AB">
        <w:rPr>
          <w:color w:val="263A85"/>
        </w:rPr>
        <w:t xml:space="preserve"> agricultural activities for farmers and ranchers.</w:t>
      </w:r>
    </w:p>
    <w:p w14:paraId="64D434A0" w14:textId="3CC7FBF9" w:rsidR="00642A76" w:rsidRDefault="00642A76" w:rsidP="00BC00AB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Manufacturing.</w:t>
      </w:r>
    </w:p>
    <w:p w14:paraId="0ECFA215" w14:textId="7B291C57" w:rsidR="00642A76" w:rsidRDefault="00642A76" w:rsidP="00BC00AB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Processing and value-added processing.</w:t>
      </w:r>
    </w:p>
    <w:p w14:paraId="3E4F6189" w14:textId="0CDB199D" w:rsidR="00642A76" w:rsidRPr="00BC00AB" w:rsidRDefault="00642A76" w:rsidP="00BC00AB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Targeted services industries.</w:t>
      </w:r>
    </w:p>
    <w:p w14:paraId="3FE572A3" w14:textId="77777777" w:rsidR="000662E9" w:rsidRDefault="000662E9" w:rsidP="007A0609">
      <w:pPr>
        <w:pStyle w:val="NoSpacing"/>
        <w:rPr>
          <w:color w:val="263A85"/>
          <w:highlight w:val="yellow"/>
        </w:rPr>
      </w:pPr>
    </w:p>
    <w:p w14:paraId="132CDC13" w14:textId="4F47D7A0" w:rsidR="00033DC3" w:rsidRPr="00CD7CB6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r w:rsidRPr="00CD7CB6">
        <w:rPr>
          <w:b/>
          <w:bCs/>
          <w:color w:val="263A85"/>
          <w:sz w:val="24"/>
          <w:szCs w:val="24"/>
        </w:rPr>
        <w:t>Agriculture Diversification and Development</w:t>
      </w:r>
      <w:r w:rsidR="00F359F9">
        <w:rPr>
          <w:b/>
          <w:bCs/>
          <w:color w:val="263A85"/>
          <w:sz w:val="24"/>
          <w:szCs w:val="24"/>
        </w:rPr>
        <w:t xml:space="preserve"> (ADD)</w:t>
      </w:r>
      <w:r w:rsidRPr="00CD7CB6">
        <w:rPr>
          <w:b/>
          <w:bCs/>
          <w:color w:val="263A85"/>
          <w:sz w:val="24"/>
          <w:szCs w:val="24"/>
        </w:rPr>
        <w:t xml:space="preserve"> Fund</w:t>
      </w:r>
    </w:p>
    <w:p w14:paraId="010FD24D" w14:textId="0C884AB0" w:rsidR="00D9037E" w:rsidRPr="00C3422B" w:rsidRDefault="00177448" w:rsidP="007A0609">
      <w:pPr>
        <w:pStyle w:val="NoSpacing"/>
        <w:rPr>
          <w:color w:val="263A85"/>
          <w:highlight w:val="yellow"/>
        </w:rPr>
      </w:pPr>
      <w:r>
        <w:rPr>
          <w:noProof/>
          <w:color w:val="263A85"/>
        </w:rPr>
        <w:pict w14:anchorId="0F7C8B5A">
          <v:shape id="_x0000_s1030" type="#_x0000_t32" style="position:absolute;margin-left:.1pt;margin-top:3.45pt;width:311.9pt;height:0;z-index:251658245" o:connectortype="straight" strokecolor="#0e8744"/>
        </w:pict>
      </w:r>
    </w:p>
    <w:p w14:paraId="21D0461A" w14:textId="40E20F7C" w:rsidR="00447D15" w:rsidRPr="00447D15" w:rsidRDefault="00447D15" w:rsidP="007A0609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033DC3" w:rsidRPr="00447D15">
        <w:rPr>
          <w:b/>
          <w:bCs/>
          <w:color w:val="0E8744"/>
          <w:u w:val="single"/>
        </w:rPr>
        <w:t>Eligible Projects:</w:t>
      </w:r>
    </w:p>
    <w:p w14:paraId="3B03900E" w14:textId="1FB890F8" w:rsidR="00033DC3" w:rsidRDefault="004D5335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Food production and processing facilities.</w:t>
      </w:r>
    </w:p>
    <w:p w14:paraId="021B141B" w14:textId="52A41D47" w:rsidR="004D5335" w:rsidRDefault="004D5335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Feed or pet food processing facilities.</w:t>
      </w:r>
    </w:p>
    <w:p w14:paraId="1DDB84E6" w14:textId="435BF52E" w:rsidR="004D5335" w:rsidRDefault="004D5335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Commodity processing facilities.</w:t>
      </w:r>
    </w:p>
    <w:p w14:paraId="70996146" w14:textId="54C139BC" w:rsidR="004D5335" w:rsidRDefault="004D5335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Agriculture product manufacturer.</w:t>
      </w:r>
    </w:p>
    <w:p w14:paraId="4926A535" w14:textId="5EE11725" w:rsidR="004D5335" w:rsidRPr="00CD7CB6" w:rsidRDefault="004D5335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Animal production facilities.</w:t>
      </w:r>
    </w:p>
    <w:p w14:paraId="6E0F75BE" w14:textId="558C8395" w:rsidR="00C3422B" w:rsidRPr="00CD7CB6" w:rsidRDefault="00C3422B" w:rsidP="007A0609">
      <w:pPr>
        <w:pStyle w:val="NoSpacing"/>
        <w:rPr>
          <w:color w:val="263A85"/>
        </w:rPr>
      </w:pPr>
    </w:p>
    <w:p w14:paraId="0FB7637D" w14:textId="1F753218" w:rsidR="00033DC3" w:rsidRPr="00CD7CB6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proofErr w:type="spellStart"/>
      <w:r w:rsidRPr="00CD7CB6">
        <w:rPr>
          <w:b/>
          <w:bCs/>
          <w:color w:val="263A85"/>
          <w:sz w:val="24"/>
          <w:szCs w:val="24"/>
        </w:rPr>
        <w:t>Envest</w:t>
      </w:r>
      <w:proofErr w:type="spellEnd"/>
      <w:r w:rsidRPr="00CD7CB6">
        <w:rPr>
          <w:b/>
          <w:bCs/>
          <w:color w:val="263A85"/>
          <w:sz w:val="24"/>
          <w:szCs w:val="24"/>
        </w:rPr>
        <w:t>:</w:t>
      </w:r>
    </w:p>
    <w:p w14:paraId="5D613E84" w14:textId="3B78D320" w:rsidR="00D9037E" w:rsidRPr="00CD7CB6" w:rsidRDefault="00177448" w:rsidP="007A0609">
      <w:pPr>
        <w:pStyle w:val="NoSpacing"/>
        <w:rPr>
          <w:color w:val="263A85"/>
        </w:rPr>
      </w:pPr>
      <w:r>
        <w:rPr>
          <w:noProof/>
          <w:color w:val="263A85"/>
        </w:rPr>
        <w:pict w14:anchorId="0F7C8B5A">
          <v:shape id="_x0000_s1031" type="#_x0000_t32" style="position:absolute;margin-left:.1pt;margin-top:3.2pt;width:311.9pt;height:0;z-index:251658246" o:connectortype="straight" strokecolor="#0e8744"/>
        </w:pict>
      </w:r>
    </w:p>
    <w:p w14:paraId="38624517" w14:textId="1E48E28D" w:rsidR="00447D15" w:rsidRPr="00447D15" w:rsidRDefault="00447D15" w:rsidP="007A0609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033DC3" w:rsidRPr="00447D15">
        <w:rPr>
          <w:b/>
          <w:bCs/>
          <w:color w:val="0E8744"/>
          <w:u w:val="single"/>
        </w:rPr>
        <w:t>Eligible Projects:</w:t>
      </w:r>
    </w:p>
    <w:p w14:paraId="09705D93" w14:textId="654CFE45" w:rsidR="00033DC3" w:rsidRDefault="008F2437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Purchase shares in ag processing plant intended to process North Dakota products.</w:t>
      </w:r>
    </w:p>
    <w:p w14:paraId="47424D9E" w14:textId="3A28C5B5" w:rsidR="008F2437" w:rsidRPr="00CD7CB6" w:rsidRDefault="008F2437" w:rsidP="00447D15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Purchase of equity shares in a North Dakota feedlot or dairy operation that feeds a byproduct of an ethanol or biodiesel facility.</w:t>
      </w:r>
    </w:p>
    <w:p w14:paraId="2B6A6FA9" w14:textId="77777777" w:rsidR="00D9037E" w:rsidRDefault="00D9037E" w:rsidP="007A0609">
      <w:pPr>
        <w:pStyle w:val="NoSpacing"/>
        <w:rPr>
          <w:color w:val="263A85"/>
        </w:rPr>
      </w:pPr>
    </w:p>
    <w:p w14:paraId="0E565B10" w14:textId="093F4096" w:rsidR="00187861" w:rsidRDefault="00187861" w:rsidP="007A0609">
      <w:pPr>
        <w:pStyle w:val="NoSpacing"/>
        <w:rPr>
          <w:color w:val="263A85"/>
        </w:rPr>
      </w:pPr>
      <w:r>
        <w:rPr>
          <w:color w:val="263A85"/>
        </w:rPr>
        <w:t>For more information on</w:t>
      </w:r>
      <w:r w:rsidR="00BB1E21">
        <w:rPr>
          <w:color w:val="263A85"/>
        </w:rPr>
        <w:t xml:space="preserve"> Ag PACE, A</w:t>
      </w:r>
      <w:r w:rsidR="00F359F9">
        <w:rPr>
          <w:color w:val="263A85"/>
        </w:rPr>
        <w:t>DD</w:t>
      </w:r>
      <w:r>
        <w:rPr>
          <w:color w:val="263A85"/>
        </w:rPr>
        <w:t xml:space="preserve">, </w:t>
      </w:r>
      <w:r w:rsidR="00F359F9">
        <w:rPr>
          <w:color w:val="263A85"/>
        </w:rPr>
        <w:t xml:space="preserve">or </w:t>
      </w:r>
      <w:proofErr w:type="spellStart"/>
      <w:r w:rsidR="00F359F9">
        <w:rPr>
          <w:color w:val="263A85"/>
        </w:rPr>
        <w:t>Envest</w:t>
      </w:r>
      <w:proofErr w:type="spellEnd"/>
      <w:r w:rsidR="00F359F9">
        <w:rPr>
          <w:color w:val="263A85"/>
        </w:rPr>
        <w:t xml:space="preserve"> </w:t>
      </w:r>
      <w:r>
        <w:rPr>
          <w:color w:val="263A85"/>
        </w:rPr>
        <w:t xml:space="preserve">please contact </w:t>
      </w:r>
      <w:r w:rsidR="00642A76">
        <w:rPr>
          <w:color w:val="263A85"/>
        </w:rPr>
        <w:t>Dunn County JDA.</w:t>
      </w:r>
    </w:p>
    <w:p w14:paraId="755E462F" w14:textId="77777777" w:rsidR="00642A76" w:rsidRPr="00CD7CB6" w:rsidRDefault="00642A76" w:rsidP="007A0609">
      <w:pPr>
        <w:pStyle w:val="NoSpacing"/>
        <w:rPr>
          <w:color w:val="263A85"/>
        </w:rPr>
      </w:pPr>
    </w:p>
    <w:p w14:paraId="333C3B45" w14:textId="77777777" w:rsidR="006C0598" w:rsidRPr="0021144E" w:rsidRDefault="006C0598" w:rsidP="007A0609">
      <w:pPr>
        <w:pStyle w:val="NoSpacing"/>
        <w:rPr>
          <w:color w:val="263A85"/>
        </w:rPr>
      </w:pPr>
    </w:p>
    <w:p w14:paraId="5D22393D" w14:textId="77777777" w:rsidR="00033DC3" w:rsidRPr="00C3422B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r w:rsidRPr="00C3422B">
        <w:rPr>
          <w:b/>
          <w:bCs/>
          <w:color w:val="263A85"/>
          <w:sz w:val="24"/>
          <w:szCs w:val="24"/>
        </w:rPr>
        <w:t>Payback Terms:</w:t>
      </w:r>
    </w:p>
    <w:p w14:paraId="04FACA88" w14:textId="0112475B" w:rsidR="00033DC3" w:rsidRPr="0021144E" w:rsidRDefault="00033DC3" w:rsidP="004C4D4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Borrowers may qualify for the full eligible buydown as allowable by the Bank of North Dakota.</w:t>
      </w:r>
    </w:p>
    <w:p w14:paraId="24387011" w14:textId="354819F8" w:rsidR="00033DC3" w:rsidRPr="0021144E" w:rsidRDefault="00033DC3" w:rsidP="004C4D4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If the borrower remains in good standing on the payback, Dunn County JDA may grant the last $5,000 of the community payback.</w:t>
      </w:r>
    </w:p>
    <w:p w14:paraId="242FF98B" w14:textId="2A190382" w:rsidR="00033DC3" w:rsidRPr="0021144E" w:rsidRDefault="00033DC3" w:rsidP="004C4D4E">
      <w:pPr>
        <w:pStyle w:val="NoSpacing"/>
        <w:numPr>
          <w:ilvl w:val="0"/>
          <w:numId w:val="10"/>
        </w:numPr>
        <w:rPr>
          <w:color w:val="263A85"/>
        </w:rPr>
      </w:pPr>
      <w:r w:rsidRPr="0021144E">
        <w:rPr>
          <w:color w:val="263A85"/>
        </w:rPr>
        <w:t>There will be no interest on the community payback.</w:t>
      </w:r>
    </w:p>
    <w:p w14:paraId="3E719F31" w14:textId="77777777" w:rsidR="004C4D4E" w:rsidRDefault="004C4D4E" w:rsidP="007A0609">
      <w:pPr>
        <w:pStyle w:val="NoSpacing"/>
        <w:rPr>
          <w:color w:val="263A85"/>
        </w:rPr>
      </w:pPr>
    </w:p>
    <w:p w14:paraId="503233BF" w14:textId="280310C7" w:rsidR="00033DC3" w:rsidRPr="00CF0066" w:rsidRDefault="00CF0066" w:rsidP="007A0609">
      <w:pPr>
        <w:pStyle w:val="NoSpacing"/>
        <w:rPr>
          <w:b/>
          <w:bCs/>
          <w:color w:val="263A85"/>
        </w:rPr>
      </w:pPr>
      <w:r>
        <w:rPr>
          <w:b/>
          <w:bCs/>
          <w:color w:val="263A85"/>
        </w:rPr>
        <w:t>Application and Approval Process</w:t>
      </w:r>
      <w:r w:rsidR="00033DC3" w:rsidRPr="00CF0066">
        <w:rPr>
          <w:b/>
          <w:bCs/>
          <w:color w:val="263A85"/>
        </w:rPr>
        <w:t>:</w:t>
      </w:r>
    </w:p>
    <w:p w14:paraId="33AF33F2" w14:textId="77777777" w:rsidR="00033DC3" w:rsidRPr="0021144E" w:rsidRDefault="00033DC3" w:rsidP="00CF0066">
      <w:pPr>
        <w:pStyle w:val="NoSpacing"/>
        <w:numPr>
          <w:ilvl w:val="0"/>
          <w:numId w:val="12"/>
        </w:numPr>
        <w:rPr>
          <w:color w:val="263A85"/>
        </w:rPr>
      </w:pPr>
      <w:r w:rsidRPr="0021144E">
        <w:rPr>
          <w:color w:val="263A85"/>
        </w:rPr>
        <w:lastRenderedPageBreak/>
        <w:t>Applications must be made within the first 12 months of starting business operations or expansion.</w:t>
      </w:r>
    </w:p>
    <w:p w14:paraId="636888F4" w14:textId="77777777" w:rsidR="00033DC3" w:rsidRPr="0021144E" w:rsidRDefault="00033DC3" w:rsidP="00CF0066">
      <w:pPr>
        <w:pStyle w:val="NoSpacing"/>
        <w:numPr>
          <w:ilvl w:val="0"/>
          <w:numId w:val="12"/>
        </w:numPr>
        <w:rPr>
          <w:color w:val="263A85"/>
        </w:rPr>
      </w:pPr>
      <w:r w:rsidRPr="0021144E">
        <w:rPr>
          <w:color w:val="263A85"/>
        </w:rPr>
        <w:t>A detailed business plan, including an executive summary and financial projections, is required.</w:t>
      </w:r>
    </w:p>
    <w:p w14:paraId="3C5AE1C4" w14:textId="77777777" w:rsidR="00033DC3" w:rsidRPr="0021144E" w:rsidRDefault="00033DC3" w:rsidP="00CF0066">
      <w:pPr>
        <w:pStyle w:val="NoSpacing"/>
        <w:numPr>
          <w:ilvl w:val="0"/>
          <w:numId w:val="12"/>
        </w:numPr>
        <w:rPr>
          <w:color w:val="263A85"/>
        </w:rPr>
      </w:pPr>
      <w:r w:rsidRPr="0021144E">
        <w:rPr>
          <w:color w:val="263A85"/>
        </w:rPr>
        <w:t>Applications can be made through the Dunn County JDA and will be reviewed by the full board.</w:t>
      </w:r>
    </w:p>
    <w:p w14:paraId="176A0025" w14:textId="77777777" w:rsidR="00033DC3" w:rsidRPr="0021144E" w:rsidRDefault="00033DC3" w:rsidP="00CF0066">
      <w:pPr>
        <w:pStyle w:val="NoSpacing"/>
        <w:numPr>
          <w:ilvl w:val="0"/>
          <w:numId w:val="12"/>
        </w:numPr>
        <w:rPr>
          <w:color w:val="263A85"/>
        </w:rPr>
      </w:pPr>
      <w:r w:rsidRPr="0021144E">
        <w:rPr>
          <w:color w:val="263A85"/>
        </w:rPr>
        <w:t>The Dunn County JDA Board will review and approve applications based on community needs and the impact of the business.</w:t>
      </w:r>
    </w:p>
    <w:p w14:paraId="5EABB777" w14:textId="77777777" w:rsidR="004C4D4E" w:rsidRDefault="004C4D4E" w:rsidP="007A0609">
      <w:pPr>
        <w:pStyle w:val="NoSpacing"/>
        <w:rPr>
          <w:color w:val="263A85"/>
        </w:rPr>
      </w:pPr>
    </w:p>
    <w:p w14:paraId="155532E3" w14:textId="6AF546D8" w:rsidR="00033DC3" w:rsidRPr="00072527" w:rsidRDefault="00033DC3" w:rsidP="007A0609">
      <w:pPr>
        <w:pStyle w:val="NoSpacing"/>
        <w:rPr>
          <w:b/>
          <w:bCs/>
          <w:color w:val="263A85"/>
          <w:sz w:val="24"/>
          <w:szCs w:val="24"/>
        </w:rPr>
      </w:pPr>
      <w:r w:rsidRPr="00072527">
        <w:rPr>
          <w:b/>
          <w:bCs/>
          <w:color w:val="263A85"/>
          <w:sz w:val="24"/>
          <w:szCs w:val="24"/>
        </w:rPr>
        <w:t>Funding and Repayment:</w:t>
      </w:r>
    </w:p>
    <w:p w14:paraId="4C1C5966" w14:textId="77777777" w:rsidR="00072527" w:rsidRDefault="00033DC3" w:rsidP="00072527">
      <w:pPr>
        <w:pStyle w:val="NoSpacing"/>
        <w:numPr>
          <w:ilvl w:val="0"/>
          <w:numId w:val="13"/>
        </w:numPr>
        <w:rPr>
          <w:color w:val="263A85"/>
        </w:rPr>
      </w:pPr>
      <w:r w:rsidRPr="0021144E">
        <w:rPr>
          <w:color w:val="263A85"/>
        </w:rPr>
        <w:t xml:space="preserve">Approved applications will be required to repay 100% of the community portion of the interest buydown. </w:t>
      </w:r>
    </w:p>
    <w:p w14:paraId="1079E5D1" w14:textId="1C7B2E07" w:rsidR="00072527" w:rsidRPr="0021144E" w:rsidRDefault="00033DC3" w:rsidP="00072527">
      <w:pPr>
        <w:pStyle w:val="NoSpacing"/>
        <w:numPr>
          <w:ilvl w:val="0"/>
          <w:numId w:val="13"/>
        </w:numPr>
        <w:rPr>
          <w:color w:val="263A85"/>
        </w:rPr>
      </w:pPr>
      <w:r w:rsidRPr="0021144E">
        <w:rPr>
          <w:color w:val="263A85"/>
        </w:rPr>
        <w:t>No repayment is required for the Bank of North Dakota portion.</w:t>
      </w:r>
    </w:p>
    <w:p w14:paraId="5F667D9B" w14:textId="22E4A065" w:rsidR="00033DC3" w:rsidRDefault="00033DC3" w:rsidP="00072527">
      <w:pPr>
        <w:pStyle w:val="NoSpacing"/>
        <w:numPr>
          <w:ilvl w:val="0"/>
          <w:numId w:val="13"/>
        </w:numPr>
        <w:rPr>
          <w:color w:val="263A85"/>
        </w:rPr>
      </w:pPr>
      <w:r w:rsidRPr="0021144E">
        <w:rPr>
          <w:color w:val="263A85"/>
        </w:rPr>
        <w:t>Repayment begins at the end of the buydown term and must be completed within the negotiated terms</w:t>
      </w:r>
      <w:r w:rsidR="00072527">
        <w:rPr>
          <w:color w:val="263A85"/>
        </w:rPr>
        <w:t>.</w:t>
      </w:r>
    </w:p>
    <w:p w14:paraId="297DF44A" w14:textId="77777777" w:rsidR="00072527" w:rsidRDefault="00072527" w:rsidP="007A0609">
      <w:pPr>
        <w:pStyle w:val="NoSpacing"/>
        <w:rPr>
          <w:color w:val="263A85"/>
        </w:rPr>
      </w:pPr>
    </w:p>
    <w:p w14:paraId="7C81CA11" w14:textId="77777777" w:rsidR="00072527" w:rsidRPr="00072527" w:rsidRDefault="00072527" w:rsidP="00072527">
      <w:pPr>
        <w:pStyle w:val="NoSpacing"/>
        <w:rPr>
          <w:b/>
          <w:bCs/>
          <w:color w:val="0E8744"/>
          <w:u w:val="single"/>
        </w:rPr>
      </w:pPr>
      <w:r w:rsidRPr="00072527">
        <w:rPr>
          <w:b/>
          <w:bCs/>
          <w:color w:val="0E8744"/>
          <w:u w:val="single"/>
        </w:rPr>
        <w:t>Repayment Schedule:</w:t>
      </w:r>
    </w:p>
    <w:p w14:paraId="1A31ECD8" w14:textId="77777777" w:rsidR="00072527" w:rsidRPr="0021144E" w:rsidRDefault="00072527" w:rsidP="00072527">
      <w:pPr>
        <w:pStyle w:val="NoSpacing"/>
        <w:numPr>
          <w:ilvl w:val="0"/>
          <w:numId w:val="11"/>
        </w:numPr>
        <w:rPr>
          <w:color w:val="263A85"/>
        </w:rPr>
      </w:pPr>
      <w:r w:rsidRPr="0021144E">
        <w:rPr>
          <w:color w:val="263A85"/>
        </w:rPr>
        <w:t>Amounts under $</w:t>
      </w:r>
      <w:r>
        <w:rPr>
          <w:color w:val="263A85"/>
        </w:rPr>
        <w:t>2</w:t>
      </w:r>
      <w:r w:rsidRPr="0021144E">
        <w:rPr>
          <w:color w:val="263A85"/>
        </w:rPr>
        <w:t>5,000: Repayment over 60 months following the buydown term.</w:t>
      </w:r>
    </w:p>
    <w:p w14:paraId="0857E3AD" w14:textId="77777777" w:rsidR="00072527" w:rsidRPr="0021144E" w:rsidRDefault="00072527" w:rsidP="00072527">
      <w:pPr>
        <w:pStyle w:val="NoSpacing"/>
        <w:numPr>
          <w:ilvl w:val="0"/>
          <w:numId w:val="11"/>
        </w:numPr>
        <w:rPr>
          <w:color w:val="263A85"/>
        </w:rPr>
      </w:pPr>
      <w:r w:rsidRPr="0021144E">
        <w:rPr>
          <w:color w:val="263A85"/>
        </w:rPr>
        <w:t xml:space="preserve">Amounts over $25,000: </w:t>
      </w:r>
      <w:r w:rsidRPr="0017793C">
        <w:rPr>
          <w:color w:val="263A85"/>
        </w:rPr>
        <w:t>Repayment</w:t>
      </w:r>
      <w:r w:rsidRPr="0021144E">
        <w:rPr>
          <w:color w:val="263A85"/>
        </w:rPr>
        <w:t xml:space="preserve"> between 6-10 years, depending on the amount.</w:t>
      </w:r>
    </w:p>
    <w:p w14:paraId="3F1258A6" w14:textId="77777777" w:rsidR="00CF0066" w:rsidRPr="0021144E" w:rsidRDefault="00CF0066" w:rsidP="007A0609">
      <w:pPr>
        <w:pStyle w:val="NoSpacing"/>
        <w:rPr>
          <w:color w:val="263A85"/>
        </w:rPr>
      </w:pPr>
    </w:p>
    <w:p w14:paraId="79ED9DBD" w14:textId="1CEC845C" w:rsidR="00033DC3" w:rsidRPr="00072527" w:rsidRDefault="00033DC3" w:rsidP="007A0609">
      <w:pPr>
        <w:pStyle w:val="NoSpacing"/>
        <w:rPr>
          <w:b/>
          <w:bCs/>
          <w:color w:val="0E8744"/>
          <w:u w:val="single"/>
        </w:rPr>
      </w:pPr>
      <w:r w:rsidRPr="00072527">
        <w:rPr>
          <w:b/>
          <w:bCs/>
          <w:color w:val="0E8744"/>
          <w:u w:val="single"/>
        </w:rPr>
        <w:t>Funding Terms:</w:t>
      </w:r>
    </w:p>
    <w:p w14:paraId="2BC95FAF" w14:textId="77777777" w:rsidR="00033DC3" w:rsidRPr="0021144E" w:rsidRDefault="00033DC3" w:rsidP="00072527">
      <w:pPr>
        <w:pStyle w:val="NoSpacing"/>
        <w:numPr>
          <w:ilvl w:val="0"/>
          <w:numId w:val="16"/>
        </w:numPr>
        <w:rPr>
          <w:color w:val="263A85"/>
        </w:rPr>
      </w:pPr>
      <w:r w:rsidRPr="0021144E">
        <w:rPr>
          <w:color w:val="263A85"/>
        </w:rPr>
        <w:t>Maximum Flex PACE buy down for:</w:t>
      </w:r>
    </w:p>
    <w:p w14:paraId="67689882" w14:textId="77777777" w:rsidR="00033DC3" w:rsidRPr="0021144E" w:rsidRDefault="00033DC3" w:rsidP="00BC00AB">
      <w:pPr>
        <w:pStyle w:val="NoSpacing"/>
        <w:numPr>
          <w:ilvl w:val="1"/>
          <w:numId w:val="16"/>
        </w:numPr>
        <w:rPr>
          <w:color w:val="263A85"/>
        </w:rPr>
      </w:pPr>
      <w:r w:rsidRPr="0021144E">
        <w:rPr>
          <w:color w:val="263A85"/>
        </w:rPr>
        <w:t>5 years on business and equipment.</w:t>
      </w:r>
    </w:p>
    <w:p w14:paraId="32AFAE8F" w14:textId="77777777" w:rsidR="00033DC3" w:rsidRPr="0021144E" w:rsidRDefault="00033DC3" w:rsidP="00BC00AB">
      <w:pPr>
        <w:pStyle w:val="NoSpacing"/>
        <w:numPr>
          <w:ilvl w:val="1"/>
          <w:numId w:val="16"/>
        </w:numPr>
        <w:rPr>
          <w:color w:val="263A85"/>
        </w:rPr>
      </w:pPr>
      <w:r w:rsidRPr="0021144E">
        <w:rPr>
          <w:color w:val="263A85"/>
        </w:rPr>
        <w:t>10 years on real estate, if funds are available.</w:t>
      </w:r>
    </w:p>
    <w:p w14:paraId="18C87D0B" w14:textId="77777777" w:rsidR="00033DC3" w:rsidRDefault="00033DC3" w:rsidP="00072527">
      <w:pPr>
        <w:pStyle w:val="NoSpacing"/>
        <w:numPr>
          <w:ilvl w:val="0"/>
          <w:numId w:val="16"/>
        </w:numPr>
        <w:rPr>
          <w:color w:val="263A85"/>
        </w:rPr>
      </w:pPr>
      <w:r w:rsidRPr="0021144E">
        <w:rPr>
          <w:color w:val="263A85"/>
        </w:rPr>
        <w:t>PACE project terms will be evaluated on a case-by-case basis.</w:t>
      </w:r>
    </w:p>
    <w:p w14:paraId="1473A3EF" w14:textId="77777777" w:rsidR="00072527" w:rsidRPr="0021144E" w:rsidRDefault="00072527" w:rsidP="007A0609">
      <w:pPr>
        <w:pStyle w:val="NoSpacing"/>
        <w:rPr>
          <w:color w:val="263A85"/>
        </w:rPr>
      </w:pPr>
    </w:p>
    <w:p w14:paraId="5E71C159" w14:textId="77777777" w:rsidR="00033DC3" w:rsidRPr="00072527" w:rsidRDefault="00033DC3" w:rsidP="007A0609">
      <w:pPr>
        <w:pStyle w:val="NoSpacing"/>
        <w:rPr>
          <w:b/>
          <w:bCs/>
          <w:color w:val="0E8744"/>
          <w:u w:val="single"/>
        </w:rPr>
      </w:pPr>
      <w:r w:rsidRPr="00072527">
        <w:rPr>
          <w:b/>
          <w:bCs/>
          <w:color w:val="0E8744"/>
          <w:u w:val="single"/>
        </w:rPr>
        <w:t>Funding Frequency:</w:t>
      </w:r>
    </w:p>
    <w:p w14:paraId="4D134F91" w14:textId="77777777" w:rsidR="00033DC3" w:rsidRDefault="00033DC3" w:rsidP="00072527">
      <w:pPr>
        <w:pStyle w:val="NoSpacing"/>
        <w:numPr>
          <w:ilvl w:val="0"/>
          <w:numId w:val="15"/>
        </w:numPr>
        <w:rPr>
          <w:color w:val="263A85"/>
        </w:rPr>
      </w:pPr>
      <w:r w:rsidRPr="0021144E">
        <w:rPr>
          <w:color w:val="263A85"/>
        </w:rPr>
        <w:t>Businesses or organizations may apply for funding once per calendar year.</w:t>
      </w:r>
    </w:p>
    <w:p w14:paraId="39727628" w14:textId="77777777" w:rsidR="00072527" w:rsidRDefault="00072527" w:rsidP="007A0609">
      <w:pPr>
        <w:pStyle w:val="NoSpacing"/>
        <w:rPr>
          <w:color w:val="263A85"/>
        </w:rPr>
      </w:pPr>
    </w:p>
    <w:p w14:paraId="4BC4D0F9" w14:textId="62D9EA09" w:rsidR="00024712" w:rsidRPr="00072527" w:rsidRDefault="001223AC" w:rsidP="007A0609">
      <w:pPr>
        <w:pStyle w:val="NoSpacing"/>
        <w:rPr>
          <w:b/>
          <w:bCs/>
          <w:color w:val="263A85"/>
          <w:sz w:val="24"/>
          <w:szCs w:val="24"/>
        </w:rPr>
      </w:pPr>
      <w:r w:rsidRPr="00072527">
        <w:rPr>
          <w:b/>
          <w:bCs/>
          <w:color w:val="263A85"/>
          <w:sz w:val="24"/>
          <w:szCs w:val="24"/>
        </w:rPr>
        <w:t>Terms and Conditions:</w:t>
      </w:r>
    </w:p>
    <w:p w14:paraId="6867BDA0" w14:textId="105B0EA9" w:rsidR="001223AC" w:rsidRPr="0017793C" w:rsidRDefault="001223AC" w:rsidP="00072527">
      <w:pPr>
        <w:pStyle w:val="NoSpacing"/>
        <w:numPr>
          <w:ilvl w:val="0"/>
          <w:numId w:val="14"/>
        </w:numPr>
        <w:rPr>
          <w:color w:val="263A85"/>
        </w:rPr>
      </w:pPr>
      <w:r w:rsidRPr="0017793C">
        <w:rPr>
          <w:color w:val="263A85"/>
        </w:rPr>
        <w:t xml:space="preserve">Applicants will be required to sign a Business Incentive Agreement and Payback Agreement acknowledging compliance with the </w:t>
      </w:r>
      <w:r w:rsidR="00177448">
        <w:rPr>
          <w:color w:val="263A85"/>
        </w:rPr>
        <w:t>program's terms and conditions</w:t>
      </w:r>
      <w:r w:rsidRPr="0017793C">
        <w:rPr>
          <w:color w:val="263A85"/>
        </w:rPr>
        <w:t xml:space="preserve">. </w:t>
      </w:r>
    </w:p>
    <w:p w14:paraId="5AF00830" w14:textId="77777777" w:rsidR="00762D3A" w:rsidRPr="0017793C" w:rsidRDefault="00762D3A" w:rsidP="00072527">
      <w:pPr>
        <w:pStyle w:val="NoSpacing"/>
        <w:numPr>
          <w:ilvl w:val="0"/>
          <w:numId w:val="14"/>
        </w:numPr>
        <w:rPr>
          <w:color w:val="263A85"/>
        </w:rPr>
      </w:pPr>
      <w:r w:rsidRPr="0017793C">
        <w:rPr>
          <w:color w:val="263A85"/>
        </w:rPr>
        <w:t>Application to the program does not guarantee funding.</w:t>
      </w:r>
    </w:p>
    <w:p w14:paraId="45771020" w14:textId="77777777" w:rsidR="00762D3A" w:rsidRPr="0017793C" w:rsidRDefault="00762D3A" w:rsidP="00072527">
      <w:pPr>
        <w:pStyle w:val="NoSpacing"/>
        <w:numPr>
          <w:ilvl w:val="0"/>
          <w:numId w:val="14"/>
        </w:numPr>
        <w:rPr>
          <w:color w:val="263A85"/>
        </w:rPr>
      </w:pPr>
      <w:r w:rsidRPr="0017793C">
        <w:rPr>
          <w:color w:val="263A85"/>
        </w:rPr>
        <w:t>Dunn County JDA will have the authority to approve, disapprove, or make changes as necessary.</w:t>
      </w:r>
    </w:p>
    <w:p w14:paraId="235DBA0A" w14:textId="7612AFA9" w:rsidR="001223AC" w:rsidRPr="0017793C" w:rsidRDefault="00762D3A" w:rsidP="00072527">
      <w:pPr>
        <w:pStyle w:val="NoSpacing"/>
        <w:numPr>
          <w:ilvl w:val="0"/>
          <w:numId w:val="14"/>
        </w:numPr>
        <w:rPr>
          <w:color w:val="263A85"/>
        </w:rPr>
      </w:pPr>
      <w:r w:rsidRPr="0017793C">
        <w:rPr>
          <w:color w:val="263A85"/>
        </w:rPr>
        <w:t>Dunn County JDA reserves the right to request additional information as needed.</w:t>
      </w:r>
    </w:p>
    <w:p w14:paraId="4E56E2A8" w14:textId="1040C6D0" w:rsidR="00E10337" w:rsidRPr="00945434" w:rsidRDefault="00E10337" w:rsidP="0014213A">
      <w:pPr>
        <w:pStyle w:val="NoSpacing"/>
        <w:rPr>
          <w:color w:val="263A85"/>
        </w:rPr>
      </w:pPr>
    </w:p>
    <w:sectPr w:rsidR="00E10337" w:rsidRPr="0094543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8AAA" w14:textId="77777777" w:rsidR="00EF4063" w:rsidRDefault="00EF4063" w:rsidP="007914C4">
      <w:pPr>
        <w:spacing w:after="0" w:line="240" w:lineRule="auto"/>
      </w:pPr>
      <w:r>
        <w:separator/>
      </w:r>
    </w:p>
  </w:endnote>
  <w:endnote w:type="continuationSeparator" w:id="0">
    <w:p w14:paraId="3282FD14" w14:textId="77777777" w:rsidR="00EF4063" w:rsidRDefault="00EF4063" w:rsidP="007914C4">
      <w:pPr>
        <w:spacing w:after="0" w:line="240" w:lineRule="auto"/>
      </w:pPr>
      <w:r>
        <w:continuationSeparator/>
      </w:r>
    </w:p>
  </w:endnote>
  <w:endnote w:type="continuationNotice" w:id="1">
    <w:p w14:paraId="6848F2E5" w14:textId="77777777" w:rsidR="00EF4063" w:rsidRDefault="00EF4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EFCA" w14:textId="77777777" w:rsidR="007914C4" w:rsidRDefault="007914C4" w:rsidP="007914C4">
    <w:pPr>
      <w:pStyle w:val="Footer"/>
      <w:jc w:val="right"/>
      <w:rPr>
        <w:color w:val="0E8744"/>
        <w:sz w:val="20"/>
        <w:szCs w:val="20"/>
      </w:rPr>
    </w:pPr>
    <w:r>
      <w:rPr>
        <w:noProof/>
        <w:color w:val="0E8744"/>
        <w:sz w:val="20"/>
        <w:szCs w:val="20"/>
      </w:rPr>
      <w:drawing>
        <wp:anchor distT="0" distB="0" distL="114300" distR="114300" simplePos="0" relativeHeight="251658240" behindDoc="0" locked="0" layoutInCell="1" allowOverlap="1" wp14:anchorId="02FD3320" wp14:editId="469F00EE">
          <wp:simplePos x="0" y="0"/>
          <wp:positionH relativeFrom="column">
            <wp:posOffset>4068445</wp:posOffset>
          </wp:positionH>
          <wp:positionV relativeFrom="paragraph">
            <wp:posOffset>111712</wp:posOffset>
          </wp:positionV>
          <wp:extent cx="1877076" cy="480900"/>
          <wp:effectExtent l="0" t="0" r="0" b="0"/>
          <wp:wrapNone/>
          <wp:docPr id="198377665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76658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76" cy="48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3E27C" w14:textId="77777777" w:rsidR="007914C4" w:rsidRDefault="007914C4" w:rsidP="007914C4">
    <w:pPr>
      <w:pStyle w:val="Footer"/>
      <w:rPr>
        <w:color w:val="0E8744"/>
        <w:sz w:val="20"/>
        <w:szCs w:val="20"/>
      </w:rPr>
    </w:pPr>
  </w:p>
  <w:p w14:paraId="0AA4A18A" w14:textId="77777777" w:rsidR="007914C4" w:rsidRDefault="007914C4" w:rsidP="007914C4">
    <w:pPr>
      <w:pStyle w:val="Footer"/>
      <w:rPr>
        <w:color w:val="0E8744"/>
        <w:sz w:val="20"/>
        <w:szCs w:val="20"/>
      </w:rPr>
    </w:pPr>
  </w:p>
  <w:p w14:paraId="68D5F396" w14:textId="77777777" w:rsidR="007914C4" w:rsidRDefault="007914C4" w:rsidP="007914C4">
    <w:pPr>
      <w:pStyle w:val="Footer"/>
      <w:rPr>
        <w:color w:val="0E8744"/>
        <w:sz w:val="20"/>
        <w:szCs w:val="20"/>
      </w:rPr>
    </w:pPr>
  </w:p>
  <w:p w14:paraId="72EEB421" w14:textId="77777777" w:rsidR="007914C4" w:rsidRDefault="007914C4" w:rsidP="007914C4">
    <w:pPr>
      <w:pStyle w:val="Footer"/>
      <w:tabs>
        <w:tab w:val="clear" w:pos="4680"/>
        <w:tab w:val="clear" w:pos="9360"/>
        <w:tab w:val="left" w:pos="7841"/>
      </w:tabs>
      <w:rPr>
        <w:noProof/>
        <w:color w:val="0E8744"/>
        <w:sz w:val="18"/>
        <w:szCs w:val="18"/>
      </w:rPr>
    </w:pPr>
    <w:r>
      <w:rPr>
        <w:noProof/>
        <w:color w:val="0E8744"/>
        <w:sz w:val="18"/>
        <w:szCs w:val="18"/>
      </w:rPr>
      <w:tab/>
    </w:r>
  </w:p>
  <w:p w14:paraId="4A8152BE" w14:textId="77777777" w:rsidR="007914C4" w:rsidRDefault="007914C4" w:rsidP="007914C4">
    <w:pPr>
      <w:pStyle w:val="Footer"/>
      <w:rPr>
        <w:noProof/>
        <w:color w:val="0E8744"/>
        <w:sz w:val="18"/>
        <w:szCs w:val="18"/>
      </w:rPr>
    </w:pPr>
  </w:p>
  <w:p w14:paraId="30D6DD45" w14:textId="2661F55C" w:rsidR="007914C4" w:rsidRDefault="007914C4" w:rsidP="007914C4">
    <w:pPr>
      <w:pStyle w:val="Footer"/>
      <w:jc w:val="center"/>
      <w:rPr>
        <w:color w:val="0E8744"/>
        <w:sz w:val="18"/>
        <w:szCs w:val="18"/>
      </w:rPr>
    </w:pPr>
    <w:proofErr w:type="gramStart"/>
    <w:r w:rsidRPr="006D61AE">
      <w:rPr>
        <w:color w:val="0E8744"/>
        <w:sz w:val="18"/>
        <w:szCs w:val="18"/>
      </w:rPr>
      <w:t>701.573.6092  |</w:t>
    </w:r>
    <w:proofErr w:type="gramEnd"/>
    <w:r w:rsidRPr="006D61AE">
      <w:rPr>
        <w:color w:val="0E8744"/>
        <w:sz w:val="18"/>
        <w:szCs w:val="18"/>
      </w:rPr>
      <w:t xml:space="preserve">  carie.boster@dunncountynd.</w:t>
    </w:r>
    <w:r w:rsidR="00FF5CD8">
      <w:rPr>
        <w:color w:val="0E8744"/>
        <w:sz w:val="18"/>
        <w:szCs w:val="18"/>
      </w:rPr>
      <w:t>gov</w:t>
    </w:r>
    <w:r w:rsidRPr="006D61AE">
      <w:rPr>
        <w:color w:val="0E8744"/>
        <w:sz w:val="18"/>
        <w:szCs w:val="18"/>
      </w:rPr>
      <w:t xml:space="preserve">  |  205 Owens St.  </w:t>
    </w:r>
    <w:proofErr w:type="gramStart"/>
    <w:r w:rsidRPr="006D61AE">
      <w:rPr>
        <w:color w:val="0E8744"/>
        <w:sz w:val="18"/>
        <w:szCs w:val="18"/>
      </w:rPr>
      <w:t>|  Manning</w:t>
    </w:r>
    <w:proofErr w:type="gramEnd"/>
    <w:r w:rsidRPr="006D61AE">
      <w:rPr>
        <w:color w:val="0E8744"/>
        <w:sz w:val="18"/>
        <w:szCs w:val="18"/>
      </w:rPr>
      <w:t xml:space="preserve">, ND 58642 </w:t>
    </w:r>
    <w:r w:rsidRPr="006D61AE">
      <w:rPr>
        <w:color w:val="0E8744"/>
        <w:sz w:val="18"/>
        <w:szCs w:val="18"/>
      </w:rPr>
      <w:tab/>
      <w:t>v1</w:t>
    </w:r>
    <w:r w:rsidR="002E4951">
      <w:rPr>
        <w:color w:val="0E8744"/>
        <w:sz w:val="18"/>
        <w:szCs w:val="18"/>
      </w:rPr>
      <w:t>118</w:t>
    </w:r>
    <w:r w:rsidRPr="006D61AE">
      <w:rPr>
        <w:color w:val="0E8744"/>
        <w:sz w:val="18"/>
        <w:szCs w:val="18"/>
      </w:rPr>
      <w:t>24</w:t>
    </w:r>
  </w:p>
  <w:p w14:paraId="2F4338EA" w14:textId="77777777" w:rsidR="007914C4" w:rsidRPr="007914C4" w:rsidRDefault="007914C4" w:rsidP="007914C4">
    <w:pPr>
      <w:pStyle w:val="Footer"/>
      <w:jc w:val="center"/>
      <w:rPr>
        <w:color w:val="0E874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2D40" w14:textId="77777777" w:rsidR="00EF4063" w:rsidRDefault="00EF4063" w:rsidP="007914C4">
      <w:pPr>
        <w:spacing w:after="0" w:line="240" w:lineRule="auto"/>
      </w:pPr>
      <w:r>
        <w:separator/>
      </w:r>
    </w:p>
  </w:footnote>
  <w:footnote w:type="continuationSeparator" w:id="0">
    <w:p w14:paraId="2FB447B6" w14:textId="77777777" w:rsidR="00EF4063" w:rsidRDefault="00EF4063" w:rsidP="007914C4">
      <w:pPr>
        <w:spacing w:after="0" w:line="240" w:lineRule="auto"/>
      </w:pPr>
      <w:r>
        <w:continuationSeparator/>
      </w:r>
    </w:p>
  </w:footnote>
  <w:footnote w:type="continuationNotice" w:id="1">
    <w:p w14:paraId="6FCC1369" w14:textId="77777777" w:rsidR="00EF4063" w:rsidRDefault="00EF40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B01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B7148"/>
    <w:multiLevelType w:val="hybridMultilevel"/>
    <w:tmpl w:val="3D42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86E"/>
    <w:multiLevelType w:val="multilevel"/>
    <w:tmpl w:val="29C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818D3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10237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30825"/>
    <w:multiLevelType w:val="hybridMultilevel"/>
    <w:tmpl w:val="D4CC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37371"/>
    <w:multiLevelType w:val="multilevel"/>
    <w:tmpl w:val="00A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07207"/>
    <w:multiLevelType w:val="hybridMultilevel"/>
    <w:tmpl w:val="AEA0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C0B27"/>
    <w:multiLevelType w:val="hybridMultilevel"/>
    <w:tmpl w:val="ED90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13DAD"/>
    <w:multiLevelType w:val="hybridMultilevel"/>
    <w:tmpl w:val="880C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E2F3D"/>
    <w:multiLevelType w:val="multilevel"/>
    <w:tmpl w:val="F4D6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7155D"/>
    <w:multiLevelType w:val="hybridMultilevel"/>
    <w:tmpl w:val="AC3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00B12"/>
    <w:multiLevelType w:val="hybridMultilevel"/>
    <w:tmpl w:val="A7C0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47BC2"/>
    <w:multiLevelType w:val="hybridMultilevel"/>
    <w:tmpl w:val="0EAA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E5B"/>
    <w:multiLevelType w:val="hybridMultilevel"/>
    <w:tmpl w:val="7170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9629D"/>
    <w:multiLevelType w:val="hybridMultilevel"/>
    <w:tmpl w:val="EC7E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A2423"/>
    <w:multiLevelType w:val="hybridMultilevel"/>
    <w:tmpl w:val="F906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DC3"/>
    <w:rsid w:val="00024712"/>
    <w:rsid w:val="00033DC3"/>
    <w:rsid w:val="000662E9"/>
    <w:rsid w:val="00072527"/>
    <w:rsid w:val="00111849"/>
    <w:rsid w:val="001223AC"/>
    <w:rsid w:val="0014213A"/>
    <w:rsid w:val="00177448"/>
    <w:rsid w:val="00177735"/>
    <w:rsid w:val="0017793C"/>
    <w:rsid w:val="00187861"/>
    <w:rsid w:val="00196409"/>
    <w:rsid w:val="001F7664"/>
    <w:rsid w:val="0021144E"/>
    <w:rsid w:val="002A3985"/>
    <w:rsid w:val="002E4951"/>
    <w:rsid w:val="00381242"/>
    <w:rsid w:val="003C5C5B"/>
    <w:rsid w:val="003E303E"/>
    <w:rsid w:val="004148F2"/>
    <w:rsid w:val="0044069F"/>
    <w:rsid w:val="0044774D"/>
    <w:rsid w:val="00447D15"/>
    <w:rsid w:val="004673AD"/>
    <w:rsid w:val="00493BBA"/>
    <w:rsid w:val="004B4712"/>
    <w:rsid w:val="004C1A15"/>
    <w:rsid w:val="004C4D4E"/>
    <w:rsid w:val="004C578B"/>
    <w:rsid w:val="004D5335"/>
    <w:rsid w:val="005118B0"/>
    <w:rsid w:val="00524419"/>
    <w:rsid w:val="005907C0"/>
    <w:rsid w:val="005D5A1D"/>
    <w:rsid w:val="006005EC"/>
    <w:rsid w:val="0062532A"/>
    <w:rsid w:val="00642A76"/>
    <w:rsid w:val="00670362"/>
    <w:rsid w:val="00687419"/>
    <w:rsid w:val="006A03AD"/>
    <w:rsid w:val="006C0598"/>
    <w:rsid w:val="006C1905"/>
    <w:rsid w:val="00762D3A"/>
    <w:rsid w:val="007914C4"/>
    <w:rsid w:val="0079553C"/>
    <w:rsid w:val="007A0609"/>
    <w:rsid w:val="007A19A0"/>
    <w:rsid w:val="007C07CC"/>
    <w:rsid w:val="007F1F89"/>
    <w:rsid w:val="00834C70"/>
    <w:rsid w:val="00862ED5"/>
    <w:rsid w:val="0087663F"/>
    <w:rsid w:val="0089316F"/>
    <w:rsid w:val="008D2488"/>
    <w:rsid w:val="008F04EC"/>
    <w:rsid w:val="008F2437"/>
    <w:rsid w:val="00900A40"/>
    <w:rsid w:val="00907F1E"/>
    <w:rsid w:val="00934AF9"/>
    <w:rsid w:val="00945434"/>
    <w:rsid w:val="0097248E"/>
    <w:rsid w:val="009A4E88"/>
    <w:rsid w:val="00A12B1A"/>
    <w:rsid w:val="00A752E5"/>
    <w:rsid w:val="00B516CF"/>
    <w:rsid w:val="00B9419F"/>
    <w:rsid w:val="00BA0DAE"/>
    <w:rsid w:val="00BB1E21"/>
    <w:rsid w:val="00BC00AB"/>
    <w:rsid w:val="00BF553C"/>
    <w:rsid w:val="00BF74D4"/>
    <w:rsid w:val="00C3422B"/>
    <w:rsid w:val="00C5408B"/>
    <w:rsid w:val="00CD726D"/>
    <w:rsid w:val="00CD7CB6"/>
    <w:rsid w:val="00CF0066"/>
    <w:rsid w:val="00CF438A"/>
    <w:rsid w:val="00D45E8E"/>
    <w:rsid w:val="00D9037E"/>
    <w:rsid w:val="00DC414F"/>
    <w:rsid w:val="00DD5B9C"/>
    <w:rsid w:val="00DE1BC4"/>
    <w:rsid w:val="00E07A66"/>
    <w:rsid w:val="00E10337"/>
    <w:rsid w:val="00EB6530"/>
    <w:rsid w:val="00EB7D73"/>
    <w:rsid w:val="00EE0416"/>
    <w:rsid w:val="00EE1213"/>
    <w:rsid w:val="00EF4063"/>
    <w:rsid w:val="00F359F9"/>
    <w:rsid w:val="00F43501"/>
    <w:rsid w:val="00F45199"/>
    <w:rsid w:val="00F62021"/>
    <w:rsid w:val="00F85DD6"/>
    <w:rsid w:val="00FF528A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27"/>
        <o:r id="V:Rule9" type="connector" idref="#_x0000_s1030"/>
        <o:r id="V:Rule10" type="connector" idref="#_x0000_s1028"/>
        <o:r id="V:Rule11" type="connector" idref="#_x0000_s1031"/>
        <o:r id="V:Rule12" type="connector" idref="#_x0000_s1029"/>
      </o:rules>
    </o:shapelayout>
  </w:shapeDefaults>
  <w:decimalSymbol w:val="."/>
  <w:listSeparator w:val=","/>
  <w14:docId w14:val="6CE8736E"/>
  <w15:chartTrackingRefBased/>
  <w15:docId w15:val="{2A433FB5-1419-4F22-AF82-28B94101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D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47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C4"/>
  </w:style>
  <w:style w:type="paragraph" w:styleId="Footer">
    <w:name w:val="footer"/>
    <w:basedOn w:val="Normal"/>
    <w:link w:val="FooterChar"/>
    <w:uiPriority w:val="99"/>
    <w:unhideWhenUsed/>
    <w:rsid w:val="0079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629</Words>
  <Characters>3682</Characters>
  <Application>Microsoft Office Word</Application>
  <DocSecurity>0</DocSecurity>
  <Lines>118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 Doerr</dc:creator>
  <cp:keywords/>
  <dc:description/>
  <cp:lastModifiedBy>Carie Boster</cp:lastModifiedBy>
  <cp:revision>3</cp:revision>
  <cp:lastPrinted>2024-10-05T01:58:00Z</cp:lastPrinted>
  <dcterms:created xsi:type="dcterms:W3CDTF">2024-11-18T23:13:00Z</dcterms:created>
  <dcterms:modified xsi:type="dcterms:W3CDTF">2025-01-08T18:35:00Z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b5c71f857c31ba1250b3fa419f31ac43f6cd93f68d1d66b33b480c1441343f8d</vt:lpwstr>
  </property>
</Properties>
</file>