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BE1E" w14:textId="77777777" w:rsidR="00AA065A" w:rsidRDefault="00AA065A" w:rsidP="00AA065A">
      <w:pPr>
        <w:pStyle w:val="NoSpacing"/>
        <w:spacing w:line="276" w:lineRule="auto"/>
        <w:rPr>
          <w:b/>
          <w:bCs/>
        </w:rPr>
      </w:pPr>
      <w:r>
        <w:rPr>
          <w:b/>
          <w:bCs/>
          <w:noProof/>
          <w:color w:val="263A85"/>
          <w:sz w:val="48"/>
          <w:szCs w:val="48"/>
        </w:rPr>
        <w:drawing>
          <wp:anchor distT="0" distB="0" distL="114300" distR="114300" simplePos="0" relativeHeight="251659264" behindDoc="0" locked="0" layoutInCell="1" allowOverlap="1" wp14:anchorId="39698F24" wp14:editId="21A53A03">
            <wp:simplePos x="0" y="0"/>
            <wp:positionH relativeFrom="column">
              <wp:posOffset>5033645</wp:posOffset>
            </wp:positionH>
            <wp:positionV relativeFrom="paragraph">
              <wp:posOffset>76200</wp:posOffset>
            </wp:positionV>
            <wp:extent cx="866775" cy="866775"/>
            <wp:effectExtent l="0" t="0" r="0" b="0"/>
            <wp:wrapNone/>
            <wp:docPr id="1689997544" name="Picture 1" descr="A green line drawing of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97544" name="Picture 1" descr="A green line drawing of a stor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sidRPr="00353DF9">
        <w:rPr>
          <w:i/>
          <w:iCs/>
          <w:color w:val="0E8744"/>
          <w:sz w:val="32"/>
          <w:szCs w:val="32"/>
        </w:rPr>
        <w:t>DUNN COUNTY</w:t>
      </w:r>
    </w:p>
    <w:p w14:paraId="32AB596B" w14:textId="77777777" w:rsidR="00AA065A" w:rsidRDefault="00AA065A" w:rsidP="00AA065A">
      <w:pPr>
        <w:pStyle w:val="NoSpacing"/>
        <w:rPr>
          <w:b/>
          <w:bCs/>
          <w:color w:val="263A85"/>
          <w:sz w:val="48"/>
          <w:szCs w:val="48"/>
        </w:rPr>
      </w:pPr>
      <w:r>
        <w:rPr>
          <w:b/>
          <w:bCs/>
          <w:color w:val="263A85"/>
          <w:sz w:val="48"/>
          <w:szCs w:val="48"/>
        </w:rPr>
        <w:t>Storefront Renovation</w:t>
      </w:r>
    </w:p>
    <w:p w14:paraId="72923383" w14:textId="77777777" w:rsidR="00AA065A" w:rsidRPr="00353DF9" w:rsidRDefault="00AA065A" w:rsidP="00AA065A">
      <w:pPr>
        <w:pStyle w:val="NoSpacing"/>
        <w:rPr>
          <w:b/>
          <w:bCs/>
          <w:sz w:val="48"/>
          <w:szCs w:val="48"/>
        </w:rPr>
      </w:pPr>
      <w:r>
        <w:rPr>
          <w:b/>
          <w:bCs/>
          <w:color w:val="263A85"/>
          <w:sz w:val="48"/>
          <w:szCs w:val="48"/>
        </w:rPr>
        <w:t>Grant</w:t>
      </w:r>
      <w:r w:rsidRPr="00353DF9">
        <w:rPr>
          <w:b/>
          <w:bCs/>
          <w:color w:val="263A85"/>
          <w:sz w:val="48"/>
          <w:szCs w:val="48"/>
        </w:rPr>
        <w:t xml:space="preserve"> Program</w:t>
      </w:r>
    </w:p>
    <w:p w14:paraId="6DCF1A07" w14:textId="77777777" w:rsidR="00AA065A" w:rsidRPr="008F6042" w:rsidRDefault="00AA065A" w:rsidP="00AA065A">
      <w:pPr>
        <w:pStyle w:val="NoSpacing"/>
      </w:pPr>
      <w:r>
        <w:rPr>
          <w:noProof/>
        </w:rPr>
        <mc:AlternateContent>
          <mc:Choice Requires="wps">
            <w:drawing>
              <wp:anchor distT="0" distB="0" distL="114300" distR="114300" simplePos="0" relativeHeight="251660288" behindDoc="0" locked="0" layoutInCell="1" allowOverlap="1" wp14:anchorId="5AAF4813" wp14:editId="116CE995">
                <wp:simplePos x="0" y="0"/>
                <wp:positionH relativeFrom="column">
                  <wp:posOffset>11430</wp:posOffset>
                </wp:positionH>
                <wp:positionV relativeFrom="paragraph">
                  <wp:posOffset>115570</wp:posOffset>
                </wp:positionV>
                <wp:extent cx="5932170" cy="0"/>
                <wp:effectExtent l="20955" t="20955" r="19050" b="17145"/>
                <wp:wrapNone/>
                <wp:docPr id="78764323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0"/>
                        </a:xfrm>
                        <a:prstGeom prst="straightConnector1">
                          <a:avLst/>
                        </a:prstGeom>
                        <a:noFill/>
                        <a:ln w="31750">
                          <a:solidFill>
                            <a:srgbClr val="263A8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D165754" id="_x0000_t32" coordsize="21600,21600" o:spt="32" o:oned="t" path="m,l21600,21600e" filled="f">
                <v:path arrowok="t" fillok="f" o:connecttype="none"/>
                <o:lock v:ext="edit" shapetype="t"/>
              </v:shapetype>
              <v:shape id="Straight Arrow Connector 1" o:spid="_x0000_s1026" type="#_x0000_t32" style="position:absolute;margin-left:.9pt;margin-top:9.1pt;width:46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bDvQEAAFcDAAAOAAAAZHJzL2Uyb0RvYy54bWysU8Fu2zAMvQ/YPwi6L44TpO2MOMWQrrt0&#10;W4B2H8DIsi1MFgVSiZ2/n6QmWbHdhl0ESiQfHx+p9f00WHHUxAZdLcvZXArtFDbGdbX88fL44U4K&#10;DuAasOh0LU+a5f3m/bv16Cu9wB5to0lEEMfV6GvZh+CromDV6wF4hl676GyRBgjxSl3REIwRfbDF&#10;Yj6/KUakxhMqzRxfH16dcpPx21ar8L1tWQdhaxm5hXxSPvfpLDZrqDoC3xt1pgH/wGIA42LRK9QD&#10;BBAHMn9BDUYRMrZhpnAosG2N0rmH2E05/6Ob5x68zr1EcdhfZeL/B6u+HbduR4m6mtyzf0L1k4XD&#10;bQ+u05nAy8nHwZVJqmL0XF1T0oX9jsR+/IpNjIFDwKzC1NKQIGN/Yspin65i6ykIFR9XH5eL8jbO&#10;RF18BVSXRE8cvmgcRDJqyYHAdH3YonNxpEhlLgPHJw6JFlSXhFTV4aOxNk/WOjHWclneruY5g9Ga&#10;JnlTHFO331oSR4jLsbhZfrpb5Saj520Y4cE1Ga3X0Hw+2wGMfbVjdevO2iQ50u5xtcfmtKOLZnF6&#10;meZ509J6vL3n7N//YfMLAAD//wMAUEsDBBQABgAIAAAAIQC3Rjyh2wAAAAcBAAAPAAAAZHJzL2Rv&#10;d25yZXYueG1sTI/RSsNAEEXfBf9hGcE3u2mFqjGb0haUIqIY/YBNdpoNzc4u2W0b+/VO8UGfhjt3&#10;uHNusRhdLw44xM6TgukkA4HUeNNRq+Dr8+nmHkRMmozuPaGCb4ywKC8vCp0bf6QPPFSpFRxCMdcK&#10;bEohlzI2Fp2OEx+Q2Nv6wenEcmilGfSRw10vZ1k2l053xB+sDri22OyqvVOwspvnU3xb+ffX2t5t&#10;di+hwlNQ6vpqXD6CSDimv2M44zM6lMxU+z2ZKHrWDJ7OYwaC7YfbOVerfxeyLOR//vIHAAD//wMA&#10;UEsBAi0AFAAGAAgAAAAhALaDOJL+AAAA4QEAABMAAAAAAAAAAAAAAAAAAAAAAFtDb250ZW50X1R5&#10;cGVzXS54bWxQSwECLQAUAAYACAAAACEAOP0h/9YAAACUAQAACwAAAAAAAAAAAAAAAAAvAQAAX3Jl&#10;bHMvLnJlbHNQSwECLQAUAAYACAAAACEAmo7Ww70BAABXAwAADgAAAAAAAAAAAAAAAAAuAgAAZHJz&#10;L2Uyb0RvYy54bWxQSwECLQAUAAYACAAAACEAt0Y8odsAAAAHAQAADwAAAAAAAAAAAAAAAAAXBAAA&#10;ZHJzL2Rvd25yZXYueG1sUEsFBgAAAAAEAAQA8wAAAB8FAAAAAA==&#10;" strokecolor="#263a85" strokeweight="2.5pt"/>
            </w:pict>
          </mc:Fallback>
        </mc:AlternateContent>
      </w:r>
    </w:p>
    <w:p w14:paraId="3D267F0C" w14:textId="77777777" w:rsidR="00AA065A" w:rsidRDefault="00AA065A" w:rsidP="00AA065A">
      <w:pPr>
        <w:pStyle w:val="NoSpacing"/>
        <w:rPr>
          <w:color w:val="263A85"/>
        </w:rPr>
      </w:pPr>
    </w:p>
    <w:p w14:paraId="08E4B69F" w14:textId="77777777" w:rsidR="00AA065A" w:rsidRPr="003A12BE" w:rsidRDefault="00AA065A" w:rsidP="00AA065A">
      <w:pPr>
        <w:pStyle w:val="NoSpacing"/>
        <w:rPr>
          <w:i/>
          <w:iCs/>
          <w:color w:val="263A85"/>
        </w:rPr>
      </w:pPr>
      <w:r w:rsidRPr="003A12BE">
        <w:rPr>
          <w:i/>
          <w:iCs/>
          <w:color w:val="263A85"/>
        </w:rPr>
        <w:t>The Storefront Renovation Grant Program encourages the renovation and occupancy of vacant or dilapidated buildings in high-traffic areas within designated business districts. The program aims to enhance the visual appeal and functionality of storefronts to attract more businesses, customers, and investment.</w:t>
      </w:r>
    </w:p>
    <w:p w14:paraId="493E9B46" w14:textId="77777777" w:rsidR="00AA065A" w:rsidRPr="003A12BE" w:rsidRDefault="00AA065A" w:rsidP="00AA065A">
      <w:pPr>
        <w:pStyle w:val="NoSpacing"/>
        <w:rPr>
          <w:color w:val="263A85"/>
        </w:rPr>
      </w:pPr>
    </w:p>
    <w:p w14:paraId="01D79809" w14:textId="77777777" w:rsidR="00AA065A" w:rsidRPr="00D43E2B" w:rsidRDefault="00AA065A" w:rsidP="00AA065A">
      <w:pPr>
        <w:pStyle w:val="NoSpacing"/>
        <w:rPr>
          <w:b/>
          <w:bCs/>
          <w:color w:val="263A85"/>
          <w:sz w:val="24"/>
          <w:szCs w:val="24"/>
        </w:rPr>
      </w:pPr>
      <w:r w:rsidRPr="00D43E2B">
        <w:rPr>
          <w:b/>
          <w:bCs/>
          <w:color w:val="263A85"/>
          <w:sz w:val="24"/>
          <w:szCs w:val="24"/>
        </w:rPr>
        <w:t>Grant Amount:</w:t>
      </w:r>
    </w:p>
    <w:p w14:paraId="46F04F4F" w14:textId="77777777" w:rsidR="00AA065A" w:rsidRPr="003A12BE" w:rsidRDefault="00AA065A" w:rsidP="00AA065A">
      <w:pPr>
        <w:pStyle w:val="NoSpacing"/>
        <w:numPr>
          <w:ilvl w:val="0"/>
          <w:numId w:val="1"/>
        </w:numPr>
        <w:rPr>
          <w:color w:val="263A85"/>
        </w:rPr>
      </w:pPr>
      <w:r w:rsidRPr="003A12BE">
        <w:rPr>
          <w:color w:val="263A85"/>
        </w:rPr>
        <w:t>Maximum Grant: Up to $100,000 per project.</w:t>
      </w:r>
    </w:p>
    <w:p w14:paraId="0C1F72D4" w14:textId="77777777" w:rsidR="00AA065A" w:rsidRPr="003A12BE" w:rsidRDefault="00AA065A" w:rsidP="00AA065A">
      <w:pPr>
        <w:pStyle w:val="NoSpacing"/>
        <w:numPr>
          <w:ilvl w:val="0"/>
          <w:numId w:val="1"/>
        </w:numPr>
        <w:rPr>
          <w:color w:val="263A85"/>
        </w:rPr>
      </w:pPr>
      <w:r w:rsidRPr="003A12BE">
        <w:rPr>
          <w:color w:val="263A85"/>
        </w:rPr>
        <w:t>A 4:1 match is required (e.g., for $100,000 in grant funding, the applicant must invest $25,000 of their own funds, for a total of $125,000 in exterior improvements).</w:t>
      </w:r>
    </w:p>
    <w:p w14:paraId="2D84F36D" w14:textId="77777777" w:rsidR="00AA065A" w:rsidRDefault="00AA065A" w:rsidP="00AA065A">
      <w:pPr>
        <w:pStyle w:val="NoSpacing"/>
        <w:rPr>
          <w:color w:val="263A85"/>
        </w:rPr>
      </w:pPr>
    </w:p>
    <w:p w14:paraId="607B7037" w14:textId="77777777" w:rsidR="00AA065A" w:rsidRPr="00D43E2B" w:rsidRDefault="00AA065A" w:rsidP="00AA065A">
      <w:pPr>
        <w:pStyle w:val="NoSpacing"/>
        <w:rPr>
          <w:b/>
          <w:bCs/>
          <w:color w:val="263A85"/>
          <w:sz w:val="24"/>
          <w:szCs w:val="24"/>
        </w:rPr>
      </w:pPr>
      <w:r w:rsidRPr="00D43E2B">
        <w:rPr>
          <w:b/>
          <w:bCs/>
          <w:color w:val="263A85"/>
          <w:sz w:val="24"/>
          <w:szCs w:val="24"/>
        </w:rPr>
        <w:t>Eligible Improvements:</w:t>
      </w:r>
    </w:p>
    <w:p w14:paraId="7A8CE317" w14:textId="77777777" w:rsidR="00AA065A" w:rsidRPr="003A12BE" w:rsidRDefault="00AA065A" w:rsidP="00AA065A">
      <w:pPr>
        <w:pStyle w:val="NoSpacing"/>
        <w:numPr>
          <w:ilvl w:val="0"/>
          <w:numId w:val="2"/>
        </w:numPr>
        <w:rPr>
          <w:color w:val="263A85"/>
        </w:rPr>
      </w:pPr>
      <w:r w:rsidRPr="003A12BE">
        <w:rPr>
          <w:color w:val="263A85"/>
        </w:rPr>
        <w:t>Design or architectural services for the building’s façade</w:t>
      </w:r>
    </w:p>
    <w:p w14:paraId="09F0E5E4" w14:textId="77777777" w:rsidR="00AA065A" w:rsidRPr="003A12BE" w:rsidRDefault="00AA065A" w:rsidP="00AA065A">
      <w:pPr>
        <w:pStyle w:val="NoSpacing"/>
        <w:numPr>
          <w:ilvl w:val="0"/>
          <w:numId w:val="2"/>
        </w:numPr>
        <w:rPr>
          <w:color w:val="263A85"/>
        </w:rPr>
      </w:pPr>
      <w:r w:rsidRPr="003A12BE">
        <w:rPr>
          <w:color w:val="263A85"/>
        </w:rPr>
        <w:t xml:space="preserve">Rehabilitation or compatible reconstruction of all sides of the building visible to the public </w:t>
      </w:r>
    </w:p>
    <w:p w14:paraId="79B00B1B" w14:textId="77777777" w:rsidR="00AA065A" w:rsidRPr="003A12BE" w:rsidRDefault="00AA065A" w:rsidP="00AA065A">
      <w:pPr>
        <w:pStyle w:val="NoSpacing"/>
        <w:numPr>
          <w:ilvl w:val="0"/>
          <w:numId w:val="2"/>
        </w:numPr>
        <w:rPr>
          <w:color w:val="263A85"/>
        </w:rPr>
      </w:pPr>
      <w:r w:rsidRPr="003A12BE">
        <w:rPr>
          <w:color w:val="263A85"/>
        </w:rPr>
        <w:t>Removing non-historic elements from building facades</w:t>
      </w:r>
    </w:p>
    <w:p w14:paraId="71A6FC3F" w14:textId="77777777" w:rsidR="00AA065A" w:rsidRPr="003A12BE" w:rsidRDefault="00AA065A" w:rsidP="00AA065A">
      <w:pPr>
        <w:pStyle w:val="NoSpacing"/>
        <w:numPr>
          <w:ilvl w:val="0"/>
          <w:numId w:val="2"/>
        </w:numPr>
        <w:rPr>
          <w:color w:val="263A85"/>
        </w:rPr>
      </w:pPr>
      <w:r w:rsidRPr="003A12BE">
        <w:rPr>
          <w:color w:val="263A85"/>
        </w:rPr>
        <w:t>Awnings and canopies</w:t>
      </w:r>
    </w:p>
    <w:p w14:paraId="2E27FD64" w14:textId="40B0BAF4" w:rsidR="00AA065A" w:rsidRPr="003A12BE" w:rsidRDefault="00AA065A" w:rsidP="00AA065A">
      <w:pPr>
        <w:pStyle w:val="NoSpacing"/>
        <w:numPr>
          <w:ilvl w:val="0"/>
          <w:numId w:val="2"/>
        </w:numPr>
        <w:rPr>
          <w:color w:val="263A85"/>
        </w:rPr>
      </w:pPr>
      <w:r w:rsidRPr="003A12BE">
        <w:rPr>
          <w:color w:val="263A85"/>
        </w:rPr>
        <w:t xml:space="preserve">Replacement of metal siding and exterior </w:t>
      </w:r>
      <w:r w:rsidR="008A5CF4">
        <w:rPr>
          <w:color w:val="263A85"/>
        </w:rPr>
        <w:t>slipcovers</w:t>
      </w:r>
      <w:r w:rsidRPr="003A12BE">
        <w:rPr>
          <w:color w:val="263A85"/>
        </w:rPr>
        <w:t xml:space="preserve"> (surfaces)</w:t>
      </w:r>
    </w:p>
    <w:p w14:paraId="4F30AC96" w14:textId="77777777" w:rsidR="00AA065A" w:rsidRPr="003A12BE" w:rsidRDefault="00AA065A" w:rsidP="00AA065A">
      <w:pPr>
        <w:pStyle w:val="NoSpacing"/>
        <w:numPr>
          <w:ilvl w:val="0"/>
          <w:numId w:val="2"/>
        </w:numPr>
        <w:rPr>
          <w:color w:val="263A85"/>
        </w:rPr>
      </w:pPr>
      <w:r w:rsidRPr="003A12BE">
        <w:rPr>
          <w:color w:val="263A85"/>
        </w:rPr>
        <w:t>Lighting</w:t>
      </w:r>
    </w:p>
    <w:p w14:paraId="1959C65E" w14:textId="77777777" w:rsidR="00AA065A" w:rsidRPr="003A12BE" w:rsidRDefault="00AA065A" w:rsidP="00AA065A">
      <w:pPr>
        <w:pStyle w:val="NoSpacing"/>
        <w:numPr>
          <w:ilvl w:val="0"/>
          <w:numId w:val="2"/>
        </w:numPr>
        <w:rPr>
          <w:color w:val="263A85"/>
        </w:rPr>
      </w:pPr>
      <w:r w:rsidRPr="003A12BE">
        <w:rPr>
          <w:color w:val="263A85"/>
        </w:rPr>
        <w:t xml:space="preserve">Exterior cleaning, painting, and/or paint removal </w:t>
      </w:r>
    </w:p>
    <w:p w14:paraId="241BCFC1" w14:textId="77777777" w:rsidR="00AA065A" w:rsidRPr="003A12BE" w:rsidRDefault="00AA065A" w:rsidP="00AA065A">
      <w:pPr>
        <w:pStyle w:val="NoSpacing"/>
        <w:numPr>
          <w:ilvl w:val="0"/>
          <w:numId w:val="2"/>
        </w:numPr>
        <w:rPr>
          <w:color w:val="263A85"/>
        </w:rPr>
      </w:pPr>
      <w:r w:rsidRPr="003A12BE">
        <w:rPr>
          <w:color w:val="263A85"/>
        </w:rPr>
        <w:t>Masonry repair and repainting</w:t>
      </w:r>
    </w:p>
    <w:p w14:paraId="59FDDD27" w14:textId="77777777" w:rsidR="00AA065A" w:rsidRPr="003A12BE" w:rsidRDefault="00AA065A" w:rsidP="00AA065A">
      <w:pPr>
        <w:pStyle w:val="NoSpacing"/>
        <w:numPr>
          <w:ilvl w:val="0"/>
          <w:numId w:val="2"/>
        </w:numPr>
        <w:rPr>
          <w:color w:val="263A85"/>
        </w:rPr>
      </w:pPr>
      <w:r w:rsidRPr="003A12BE">
        <w:rPr>
          <w:color w:val="263A85"/>
        </w:rPr>
        <w:t xml:space="preserve">Removal/replacement of inappropriate or incompatible exterior finishes or materials </w:t>
      </w:r>
    </w:p>
    <w:p w14:paraId="7B1A0A4A" w14:textId="77777777" w:rsidR="00AA065A" w:rsidRPr="003A12BE" w:rsidRDefault="00AA065A" w:rsidP="00AA065A">
      <w:pPr>
        <w:pStyle w:val="NoSpacing"/>
        <w:numPr>
          <w:ilvl w:val="0"/>
          <w:numId w:val="2"/>
        </w:numPr>
        <w:rPr>
          <w:color w:val="263A85"/>
        </w:rPr>
      </w:pPr>
      <w:r w:rsidRPr="003A12BE">
        <w:rPr>
          <w:color w:val="263A85"/>
        </w:rPr>
        <w:t xml:space="preserve">Recessing/reconfiguring entrances </w:t>
      </w:r>
    </w:p>
    <w:p w14:paraId="3109B304" w14:textId="5B479356" w:rsidR="00AA065A" w:rsidRPr="003A12BE" w:rsidRDefault="00AA065A" w:rsidP="00AA065A">
      <w:pPr>
        <w:pStyle w:val="NoSpacing"/>
        <w:numPr>
          <w:ilvl w:val="0"/>
          <w:numId w:val="2"/>
        </w:numPr>
        <w:rPr>
          <w:color w:val="263A85"/>
        </w:rPr>
      </w:pPr>
      <w:r w:rsidRPr="003A12BE">
        <w:rPr>
          <w:color w:val="263A85"/>
        </w:rPr>
        <w:t>Door/window replacement or repair</w:t>
      </w:r>
      <w:r w:rsidR="008A5CF4">
        <w:rPr>
          <w:color w:val="263A85"/>
        </w:rPr>
        <w:t>,</w:t>
      </w:r>
      <w:r w:rsidRPr="003A12BE">
        <w:rPr>
          <w:color w:val="263A85"/>
        </w:rPr>
        <w:t xml:space="preserve"> including automatic doors</w:t>
      </w:r>
      <w:r w:rsidR="008A5CF4">
        <w:rPr>
          <w:color w:val="263A85"/>
        </w:rPr>
        <w:t>,</w:t>
      </w:r>
      <w:r w:rsidRPr="003A12BE">
        <w:rPr>
          <w:color w:val="263A85"/>
        </w:rPr>
        <w:t xml:space="preserve"> </w:t>
      </w:r>
      <w:r>
        <w:rPr>
          <w:color w:val="263A85"/>
        </w:rPr>
        <w:t>only if</w:t>
      </w:r>
      <w:r w:rsidRPr="003A12BE">
        <w:rPr>
          <w:color w:val="263A85"/>
        </w:rPr>
        <w:t xml:space="preserve"> part of </w:t>
      </w:r>
      <w:r>
        <w:rPr>
          <w:color w:val="263A85"/>
        </w:rPr>
        <w:t xml:space="preserve">a </w:t>
      </w:r>
      <w:r w:rsidRPr="003A12BE">
        <w:rPr>
          <w:color w:val="263A85"/>
        </w:rPr>
        <w:t>larger improvement</w:t>
      </w:r>
    </w:p>
    <w:p w14:paraId="5C257D4A" w14:textId="77777777" w:rsidR="00AA065A" w:rsidRPr="003A12BE" w:rsidRDefault="00AA065A" w:rsidP="00AA065A">
      <w:pPr>
        <w:pStyle w:val="NoSpacing"/>
        <w:numPr>
          <w:ilvl w:val="0"/>
          <w:numId w:val="2"/>
        </w:numPr>
        <w:rPr>
          <w:color w:val="263A85"/>
        </w:rPr>
      </w:pPr>
      <w:r w:rsidRPr="003A12BE">
        <w:rPr>
          <w:color w:val="263A85"/>
        </w:rPr>
        <w:t>Signs (new or replacements) not to exceed 20% of the project</w:t>
      </w:r>
    </w:p>
    <w:p w14:paraId="25445BBF" w14:textId="77777777" w:rsidR="00AA065A" w:rsidRPr="003A12BE" w:rsidRDefault="00AA065A" w:rsidP="00AA065A">
      <w:pPr>
        <w:pStyle w:val="NoSpacing"/>
        <w:numPr>
          <w:ilvl w:val="0"/>
          <w:numId w:val="2"/>
        </w:numPr>
        <w:rPr>
          <w:color w:val="263A85"/>
        </w:rPr>
      </w:pPr>
      <w:r w:rsidRPr="003A12BE">
        <w:rPr>
          <w:color w:val="263A85"/>
        </w:rPr>
        <w:t>Structural repairs to the exterior</w:t>
      </w:r>
    </w:p>
    <w:p w14:paraId="4A807C63" w14:textId="77777777" w:rsidR="00AA065A" w:rsidRPr="003A12BE" w:rsidRDefault="00AA065A" w:rsidP="00AA065A">
      <w:pPr>
        <w:pStyle w:val="NoSpacing"/>
        <w:numPr>
          <w:ilvl w:val="0"/>
          <w:numId w:val="2"/>
        </w:numPr>
        <w:rPr>
          <w:color w:val="263A85"/>
        </w:rPr>
      </w:pPr>
      <w:r w:rsidRPr="003A12BE">
        <w:rPr>
          <w:color w:val="263A85"/>
        </w:rPr>
        <w:t>Other enhancements to facilities providing significant economic benefit may be considered</w:t>
      </w:r>
    </w:p>
    <w:p w14:paraId="3E30BF2D" w14:textId="77777777" w:rsidR="00AA065A" w:rsidRDefault="00AA065A" w:rsidP="00AA065A">
      <w:pPr>
        <w:pStyle w:val="NoSpacing"/>
        <w:rPr>
          <w:color w:val="263A85"/>
        </w:rPr>
      </w:pPr>
    </w:p>
    <w:p w14:paraId="6F22F9B0" w14:textId="77777777" w:rsidR="00AA065A" w:rsidRPr="00D43E2B" w:rsidRDefault="00AA065A" w:rsidP="00AA065A">
      <w:pPr>
        <w:pStyle w:val="NoSpacing"/>
        <w:rPr>
          <w:b/>
          <w:bCs/>
          <w:color w:val="263A85"/>
        </w:rPr>
      </w:pPr>
      <w:r w:rsidRPr="00D43E2B">
        <w:rPr>
          <w:b/>
          <w:bCs/>
          <w:color w:val="263A85"/>
        </w:rPr>
        <w:t>Ineligible Activities:</w:t>
      </w:r>
    </w:p>
    <w:p w14:paraId="2BD1B4B3" w14:textId="77777777" w:rsidR="00AA065A" w:rsidRPr="003A12BE" w:rsidRDefault="00AA065A" w:rsidP="00AA065A">
      <w:pPr>
        <w:pStyle w:val="NoSpacing"/>
        <w:numPr>
          <w:ilvl w:val="0"/>
          <w:numId w:val="3"/>
        </w:numPr>
        <w:rPr>
          <w:color w:val="263A85"/>
        </w:rPr>
      </w:pPr>
      <w:r w:rsidRPr="003A12BE">
        <w:rPr>
          <w:color w:val="263A85"/>
        </w:rPr>
        <w:t>Hardscaping</w:t>
      </w:r>
    </w:p>
    <w:p w14:paraId="270DEFE6" w14:textId="77777777" w:rsidR="00AA065A" w:rsidRPr="003A12BE" w:rsidRDefault="00AA065A" w:rsidP="00AA065A">
      <w:pPr>
        <w:pStyle w:val="NoSpacing"/>
        <w:numPr>
          <w:ilvl w:val="0"/>
          <w:numId w:val="3"/>
        </w:numPr>
        <w:rPr>
          <w:color w:val="263A85"/>
        </w:rPr>
      </w:pPr>
      <w:r w:rsidRPr="003A12BE">
        <w:rPr>
          <w:color w:val="263A85"/>
        </w:rPr>
        <w:t>Hard surfacing or resurfacing of off-street parking areas</w:t>
      </w:r>
    </w:p>
    <w:p w14:paraId="5CB91F39" w14:textId="77777777" w:rsidR="00AA065A" w:rsidRPr="003A12BE" w:rsidRDefault="00AA065A" w:rsidP="00AA065A">
      <w:pPr>
        <w:pStyle w:val="NoSpacing"/>
        <w:numPr>
          <w:ilvl w:val="0"/>
          <w:numId w:val="3"/>
        </w:numPr>
        <w:rPr>
          <w:color w:val="263A85"/>
        </w:rPr>
      </w:pPr>
      <w:r w:rsidRPr="003A12BE">
        <w:rPr>
          <w:color w:val="263A85"/>
        </w:rPr>
        <w:t>Sidewalk replacement and repair</w:t>
      </w:r>
    </w:p>
    <w:p w14:paraId="44EFB149" w14:textId="77777777" w:rsidR="00AA065A" w:rsidRPr="003A12BE" w:rsidRDefault="00AA065A" w:rsidP="00AA065A">
      <w:pPr>
        <w:pStyle w:val="NoSpacing"/>
        <w:numPr>
          <w:ilvl w:val="0"/>
          <w:numId w:val="3"/>
        </w:numPr>
        <w:rPr>
          <w:color w:val="263A85"/>
        </w:rPr>
      </w:pPr>
      <w:r w:rsidRPr="003A12BE">
        <w:rPr>
          <w:color w:val="263A85"/>
        </w:rPr>
        <w:t>Roof replacement or repair</w:t>
      </w:r>
    </w:p>
    <w:p w14:paraId="3A7126B8" w14:textId="746E96CA" w:rsidR="00AA065A" w:rsidRPr="003A12BE" w:rsidRDefault="00AA065A" w:rsidP="00AA065A">
      <w:pPr>
        <w:pStyle w:val="NoSpacing"/>
        <w:numPr>
          <w:ilvl w:val="0"/>
          <w:numId w:val="3"/>
        </w:numPr>
        <w:rPr>
          <w:color w:val="263A85"/>
        </w:rPr>
      </w:pPr>
      <w:r w:rsidRPr="003A12BE">
        <w:rPr>
          <w:color w:val="263A85"/>
        </w:rPr>
        <w:t xml:space="preserve">Improvements made </w:t>
      </w:r>
      <w:r w:rsidR="008A5CF4">
        <w:rPr>
          <w:color w:val="263A85"/>
        </w:rPr>
        <w:t>before</w:t>
      </w:r>
      <w:r w:rsidRPr="003A12BE">
        <w:rPr>
          <w:color w:val="263A85"/>
        </w:rPr>
        <w:t xml:space="preserve"> Storefront Renovation Grant funds approval</w:t>
      </w:r>
    </w:p>
    <w:p w14:paraId="21E73B96" w14:textId="77777777" w:rsidR="00AA065A" w:rsidRPr="003A12BE" w:rsidRDefault="00AA065A" w:rsidP="00AA065A">
      <w:pPr>
        <w:pStyle w:val="NoSpacing"/>
        <w:numPr>
          <w:ilvl w:val="0"/>
          <w:numId w:val="3"/>
        </w:numPr>
        <w:rPr>
          <w:color w:val="263A85"/>
        </w:rPr>
      </w:pPr>
      <w:r w:rsidRPr="003A12BE">
        <w:rPr>
          <w:color w:val="263A85"/>
        </w:rPr>
        <w:t xml:space="preserve">Refinancing of existing debt </w:t>
      </w:r>
    </w:p>
    <w:p w14:paraId="3EE59BB2" w14:textId="77777777" w:rsidR="00AA065A" w:rsidRPr="003A12BE" w:rsidRDefault="00AA065A" w:rsidP="00AA065A">
      <w:pPr>
        <w:pStyle w:val="NoSpacing"/>
        <w:numPr>
          <w:ilvl w:val="0"/>
          <w:numId w:val="3"/>
        </w:numPr>
        <w:rPr>
          <w:color w:val="263A85"/>
        </w:rPr>
      </w:pPr>
      <w:r w:rsidRPr="003A12BE">
        <w:rPr>
          <w:color w:val="263A85"/>
        </w:rPr>
        <w:t>Inventory and equipment</w:t>
      </w:r>
    </w:p>
    <w:p w14:paraId="0992C9F8" w14:textId="519BAAA2" w:rsidR="00AA065A" w:rsidRPr="006C1CEE" w:rsidRDefault="00AA065A" w:rsidP="00AA065A">
      <w:pPr>
        <w:pStyle w:val="NoSpacing"/>
        <w:numPr>
          <w:ilvl w:val="0"/>
          <w:numId w:val="3"/>
        </w:numPr>
        <w:rPr>
          <w:color w:val="263A85"/>
        </w:rPr>
      </w:pPr>
      <w:r w:rsidRPr="003A12BE">
        <w:rPr>
          <w:color w:val="263A85"/>
        </w:rPr>
        <w:lastRenderedPageBreak/>
        <w:t>Compensating for one’s labor (sweat equity) and any items not explicitly outlined in the detailed scope of work on the application. However, funding is available for building materials and supplies if the applicant opts not to enlist an external contractor.</w:t>
      </w:r>
    </w:p>
    <w:p w14:paraId="5F5ADB73" w14:textId="77777777" w:rsidR="00AA065A" w:rsidRPr="003A12BE" w:rsidRDefault="00AA065A" w:rsidP="00AA065A">
      <w:pPr>
        <w:pStyle w:val="NoSpacing"/>
        <w:numPr>
          <w:ilvl w:val="1"/>
          <w:numId w:val="3"/>
        </w:numPr>
        <w:rPr>
          <w:color w:val="263A85"/>
        </w:rPr>
      </w:pPr>
      <w:r w:rsidRPr="003A12BE">
        <w:rPr>
          <w:color w:val="263A85"/>
        </w:rPr>
        <w:t>For applicants intending to execute construction work through their own company, the following criteria must be met:</w:t>
      </w:r>
    </w:p>
    <w:p w14:paraId="3BA1B8FF" w14:textId="77777777" w:rsidR="00AA065A" w:rsidRPr="003A12BE" w:rsidRDefault="00AA065A" w:rsidP="00AA065A">
      <w:pPr>
        <w:pStyle w:val="NoSpacing"/>
        <w:numPr>
          <w:ilvl w:val="2"/>
          <w:numId w:val="3"/>
        </w:numPr>
        <w:rPr>
          <w:color w:val="263A85"/>
        </w:rPr>
      </w:pPr>
      <w:r w:rsidRPr="003A12BE">
        <w:rPr>
          <w:color w:val="263A85"/>
        </w:rPr>
        <w:t>Possess a valid contractor license for work performed for others.</w:t>
      </w:r>
    </w:p>
    <w:p w14:paraId="4642EFE5" w14:textId="77777777" w:rsidR="00AA065A" w:rsidRPr="003A12BE" w:rsidRDefault="00AA065A" w:rsidP="00AA065A">
      <w:pPr>
        <w:pStyle w:val="NoSpacing"/>
        <w:numPr>
          <w:ilvl w:val="2"/>
          <w:numId w:val="3"/>
        </w:numPr>
        <w:rPr>
          <w:color w:val="263A85"/>
        </w:rPr>
      </w:pPr>
      <w:r w:rsidRPr="003A12BE">
        <w:rPr>
          <w:color w:val="263A85"/>
        </w:rPr>
        <w:t xml:space="preserve">Acquire a project estimate from another licensed contractor or provide evidence of fair value for labor. </w:t>
      </w:r>
    </w:p>
    <w:p w14:paraId="10F9F531" w14:textId="77777777" w:rsidR="00AA065A" w:rsidRPr="003A12BE" w:rsidRDefault="00AA065A" w:rsidP="00AA065A">
      <w:pPr>
        <w:pStyle w:val="NoSpacing"/>
        <w:numPr>
          <w:ilvl w:val="0"/>
          <w:numId w:val="3"/>
        </w:numPr>
        <w:rPr>
          <w:color w:val="263A85"/>
        </w:rPr>
      </w:pPr>
      <w:r w:rsidRPr="003A12BE">
        <w:rPr>
          <w:color w:val="263A85"/>
        </w:rPr>
        <w:t>General business operations expenses (payroll, taxes, utilities, maintenance, etc.)</w:t>
      </w:r>
    </w:p>
    <w:p w14:paraId="604019D6" w14:textId="6DEFBDCA" w:rsidR="00AA065A" w:rsidRPr="003A12BE" w:rsidRDefault="00AA065A" w:rsidP="00AA065A">
      <w:pPr>
        <w:pStyle w:val="NoSpacing"/>
        <w:numPr>
          <w:ilvl w:val="0"/>
          <w:numId w:val="3"/>
        </w:numPr>
        <w:rPr>
          <w:color w:val="263A85"/>
        </w:rPr>
      </w:pPr>
      <w:r w:rsidRPr="003A12BE">
        <w:rPr>
          <w:color w:val="263A85"/>
        </w:rPr>
        <w:t xml:space="preserve">General maintenance (windows, doors, etc.) that </w:t>
      </w:r>
      <w:r w:rsidR="008A5CF4">
        <w:rPr>
          <w:color w:val="263A85"/>
        </w:rPr>
        <w:t>is</w:t>
      </w:r>
      <w:r w:rsidRPr="003A12BE">
        <w:rPr>
          <w:color w:val="263A85"/>
        </w:rPr>
        <w:t xml:space="preserve"> not part of the larger proposed project.</w:t>
      </w:r>
    </w:p>
    <w:p w14:paraId="162C1A0F" w14:textId="77777777" w:rsidR="00AA065A" w:rsidRPr="003A12BE" w:rsidRDefault="00AA065A" w:rsidP="00AA065A">
      <w:pPr>
        <w:pStyle w:val="NoSpacing"/>
        <w:numPr>
          <w:ilvl w:val="0"/>
          <w:numId w:val="3"/>
        </w:numPr>
        <w:rPr>
          <w:color w:val="263A85"/>
        </w:rPr>
      </w:pPr>
      <w:r w:rsidRPr="003A12BE">
        <w:rPr>
          <w:color w:val="263A85"/>
        </w:rPr>
        <w:t>Sides of building or property not visible to the public</w:t>
      </w:r>
    </w:p>
    <w:p w14:paraId="34F079D5" w14:textId="77777777" w:rsidR="00AA065A" w:rsidRDefault="00AA065A" w:rsidP="00AA065A">
      <w:pPr>
        <w:pStyle w:val="NoSpacing"/>
        <w:rPr>
          <w:color w:val="263A85"/>
        </w:rPr>
      </w:pPr>
    </w:p>
    <w:p w14:paraId="087EA5B1" w14:textId="77777777" w:rsidR="00AA065A" w:rsidRPr="006C1CEE" w:rsidRDefault="00AA065A" w:rsidP="00AA065A">
      <w:pPr>
        <w:pStyle w:val="NoSpacing"/>
        <w:rPr>
          <w:b/>
          <w:bCs/>
          <w:color w:val="263A85"/>
          <w:sz w:val="24"/>
          <w:szCs w:val="24"/>
        </w:rPr>
      </w:pPr>
      <w:r w:rsidRPr="006C1CEE">
        <w:rPr>
          <w:b/>
          <w:bCs/>
          <w:color w:val="263A85"/>
          <w:sz w:val="24"/>
          <w:szCs w:val="24"/>
        </w:rPr>
        <w:t>Eligibility:</w:t>
      </w:r>
    </w:p>
    <w:p w14:paraId="7DA72B73" w14:textId="77777777" w:rsidR="00AA065A" w:rsidRPr="006C1CEE" w:rsidRDefault="00AA065A" w:rsidP="00AA065A">
      <w:pPr>
        <w:pStyle w:val="NoSpacing"/>
        <w:rPr>
          <w:b/>
          <w:bCs/>
          <w:color w:val="0E8744"/>
          <w:u w:val="single"/>
        </w:rPr>
      </w:pPr>
      <w:r>
        <w:rPr>
          <w:b/>
          <w:bCs/>
          <w:color w:val="0E8744"/>
        </w:rPr>
        <w:t xml:space="preserve">     </w:t>
      </w:r>
      <w:r w:rsidRPr="006C1CEE">
        <w:rPr>
          <w:b/>
          <w:bCs/>
          <w:color w:val="0E8744"/>
          <w:u w:val="single"/>
        </w:rPr>
        <w:t>Eligible Applicants:</w:t>
      </w:r>
    </w:p>
    <w:p w14:paraId="113AC4CE" w14:textId="77777777" w:rsidR="00AA065A" w:rsidRPr="003A12BE" w:rsidRDefault="00AA065A" w:rsidP="00AA065A">
      <w:pPr>
        <w:pStyle w:val="NoSpacing"/>
        <w:numPr>
          <w:ilvl w:val="0"/>
          <w:numId w:val="4"/>
        </w:numPr>
        <w:rPr>
          <w:color w:val="263A85"/>
        </w:rPr>
      </w:pPr>
      <w:r w:rsidRPr="003A12BE">
        <w:rPr>
          <w:color w:val="263A85"/>
        </w:rPr>
        <w:t>Businesses located within the designated business district (a map will be provided).</w:t>
      </w:r>
    </w:p>
    <w:p w14:paraId="169CC737" w14:textId="77777777" w:rsidR="00AA065A" w:rsidRPr="003A12BE" w:rsidRDefault="00AA065A" w:rsidP="00AA065A">
      <w:pPr>
        <w:pStyle w:val="NoSpacing"/>
        <w:rPr>
          <w:color w:val="263A85"/>
        </w:rPr>
      </w:pPr>
    </w:p>
    <w:p w14:paraId="17933B2F" w14:textId="77777777" w:rsidR="00AA065A" w:rsidRPr="004B40B3" w:rsidRDefault="00AA065A" w:rsidP="00AA065A">
      <w:pPr>
        <w:pStyle w:val="NoSpacing"/>
        <w:rPr>
          <w:b/>
          <w:bCs/>
          <w:color w:val="0E8744"/>
          <w:u w:val="single"/>
        </w:rPr>
      </w:pPr>
      <w:r>
        <w:rPr>
          <w:color w:val="263A85"/>
        </w:rPr>
        <w:t xml:space="preserve">     </w:t>
      </w:r>
      <w:r w:rsidRPr="004B40B3">
        <w:rPr>
          <w:b/>
          <w:bCs/>
          <w:color w:val="0E8744"/>
          <w:u w:val="single"/>
        </w:rPr>
        <w:t>Ineligible Applicants:</w:t>
      </w:r>
    </w:p>
    <w:p w14:paraId="06524861" w14:textId="77777777" w:rsidR="00AA065A" w:rsidRPr="003A12BE" w:rsidRDefault="00AA065A" w:rsidP="00AA065A">
      <w:pPr>
        <w:pStyle w:val="NoSpacing"/>
        <w:numPr>
          <w:ilvl w:val="0"/>
          <w:numId w:val="5"/>
        </w:numPr>
        <w:rPr>
          <w:color w:val="263A85"/>
        </w:rPr>
      </w:pPr>
      <w:r w:rsidRPr="003A12BE">
        <w:rPr>
          <w:color w:val="263A85"/>
        </w:rPr>
        <w:t>Buildings located within industrial parks or that are industrial in nature.</w:t>
      </w:r>
    </w:p>
    <w:p w14:paraId="1DAF5D99" w14:textId="77777777" w:rsidR="00AA065A" w:rsidRDefault="00AA065A" w:rsidP="00AA065A">
      <w:pPr>
        <w:pStyle w:val="NoSpacing"/>
        <w:rPr>
          <w:color w:val="263A85"/>
        </w:rPr>
      </w:pPr>
    </w:p>
    <w:p w14:paraId="6BA67E70" w14:textId="77777777" w:rsidR="00AA065A" w:rsidRPr="004B40B3" w:rsidRDefault="00AA065A" w:rsidP="00AA065A">
      <w:pPr>
        <w:pStyle w:val="NoSpacing"/>
        <w:rPr>
          <w:b/>
          <w:bCs/>
          <w:color w:val="263A85"/>
          <w:sz w:val="24"/>
          <w:szCs w:val="24"/>
        </w:rPr>
      </w:pPr>
      <w:r w:rsidRPr="004B40B3">
        <w:rPr>
          <w:b/>
          <w:bCs/>
          <w:color w:val="263A85"/>
          <w:sz w:val="24"/>
          <w:szCs w:val="24"/>
        </w:rPr>
        <w:t>Application Process:</w:t>
      </w:r>
    </w:p>
    <w:p w14:paraId="6D4D6FF1" w14:textId="77777777" w:rsidR="00AA065A" w:rsidRPr="003A12BE" w:rsidRDefault="00AA065A" w:rsidP="00AA065A">
      <w:pPr>
        <w:pStyle w:val="NoSpacing"/>
        <w:numPr>
          <w:ilvl w:val="0"/>
          <w:numId w:val="5"/>
        </w:numPr>
        <w:rPr>
          <w:color w:val="263A85"/>
        </w:rPr>
      </w:pPr>
      <w:r w:rsidRPr="003A12BE">
        <w:rPr>
          <w:color w:val="263A85"/>
        </w:rPr>
        <w:t>Applicants must complete the Storefront Renovation Grant Application.</w:t>
      </w:r>
    </w:p>
    <w:p w14:paraId="4ECC6810" w14:textId="77777777" w:rsidR="00AA065A" w:rsidRPr="003A12BE" w:rsidRDefault="00AA065A" w:rsidP="00AA065A">
      <w:pPr>
        <w:pStyle w:val="NoSpacing"/>
        <w:numPr>
          <w:ilvl w:val="0"/>
          <w:numId w:val="5"/>
        </w:numPr>
        <w:rPr>
          <w:color w:val="263A85"/>
        </w:rPr>
      </w:pPr>
      <w:r w:rsidRPr="003A12BE">
        <w:rPr>
          <w:color w:val="263A85"/>
        </w:rPr>
        <w:t>Plans and estimates for the proposed renovations must be included in the application.</w:t>
      </w:r>
    </w:p>
    <w:p w14:paraId="12C0FCDD" w14:textId="77777777" w:rsidR="00AA065A" w:rsidRPr="003A12BE" w:rsidRDefault="00AA065A" w:rsidP="00AA065A">
      <w:pPr>
        <w:pStyle w:val="NoSpacing"/>
        <w:numPr>
          <w:ilvl w:val="0"/>
          <w:numId w:val="5"/>
        </w:numPr>
        <w:rPr>
          <w:color w:val="263A85"/>
        </w:rPr>
      </w:pPr>
      <w:r w:rsidRPr="003A12BE">
        <w:rPr>
          <w:color w:val="263A85"/>
        </w:rPr>
        <w:t>The application should include a detailed description of the proposed renovations, estimated costs, and a timeline for completion.</w:t>
      </w:r>
    </w:p>
    <w:p w14:paraId="10B175F7" w14:textId="4EAF9446" w:rsidR="00AA065A" w:rsidRPr="003A12BE" w:rsidRDefault="00AA065A" w:rsidP="00AA065A">
      <w:pPr>
        <w:pStyle w:val="NoSpacing"/>
        <w:numPr>
          <w:ilvl w:val="0"/>
          <w:numId w:val="5"/>
        </w:numPr>
        <w:rPr>
          <w:color w:val="263A85"/>
        </w:rPr>
      </w:pPr>
      <w:r w:rsidRPr="003A12BE">
        <w:rPr>
          <w:color w:val="263A85"/>
        </w:rPr>
        <w:t xml:space="preserve">A map designating the eligible business district will be included </w:t>
      </w:r>
      <w:r w:rsidR="008A5CF4">
        <w:rPr>
          <w:color w:val="263A85"/>
        </w:rPr>
        <w:t>in</w:t>
      </w:r>
      <w:r w:rsidRPr="003A12BE">
        <w:rPr>
          <w:color w:val="263A85"/>
        </w:rPr>
        <w:t xml:space="preserve"> the application materials.</w:t>
      </w:r>
    </w:p>
    <w:p w14:paraId="030749BE" w14:textId="77777777" w:rsidR="00AA065A" w:rsidRDefault="00AA065A" w:rsidP="00AA065A">
      <w:pPr>
        <w:pStyle w:val="NoSpacing"/>
        <w:rPr>
          <w:color w:val="263A85"/>
        </w:rPr>
      </w:pPr>
    </w:p>
    <w:p w14:paraId="49A4BCAA" w14:textId="77777777" w:rsidR="00AA065A" w:rsidRPr="004B40B3" w:rsidRDefault="00AA065A" w:rsidP="00AA065A">
      <w:pPr>
        <w:pStyle w:val="NoSpacing"/>
        <w:rPr>
          <w:b/>
          <w:bCs/>
          <w:color w:val="263A85"/>
          <w:sz w:val="24"/>
          <w:szCs w:val="24"/>
        </w:rPr>
      </w:pPr>
      <w:r w:rsidRPr="004B40B3">
        <w:rPr>
          <w:b/>
          <w:bCs/>
          <w:color w:val="263A85"/>
          <w:sz w:val="24"/>
          <w:szCs w:val="24"/>
        </w:rPr>
        <w:t>Approval Process:</w:t>
      </w:r>
    </w:p>
    <w:p w14:paraId="4FE699E7" w14:textId="77777777" w:rsidR="00AA065A" w:rsidRPr="003A12BE" w:rsidRDefault="00AA065A" w:rsidP="00AA065A">
      <w:pPr>
        <w:pStyle w:val="NoSpacing"/>
        <w:numPr>
          <w:ilvl w:val="0"/>
          <w:numId w:val="5"/>
        </w:numPr>
        <w:rPr>
          <w:color w:val="263A85"/>
        </w:rPr>
      </w:pPr>
      <w:r w:rsidRPr="003A12BE">
        <w:rPr>
          <w:color w:val="263A85"/>
        </w:rPr>
        <w:t>All applications will be reviewed by the full Dunn County JDA Board, with decisions based on the project’s potential to improve the overall appearance and functionality of the business district.</w:t>
      </w:r>
    </w:p>
    <w:p w14:paraId="5CAB2316" w14:textId="77777777" w:rsidR="00AA065A" w:rsidRDefault="00AA065A" w:rsidP="00AA065A">
      <w:pPr>
        <w:pStyle w:val="NoSpacing"/>
        <w:rPr>
          <w:color w:val="263A85"/>
        </w:rPr>
      </w:pPr>
    </w:p>
    <w:p w14:paraId="2C6DD99C" w14:textId="77777777" w:rsidR="00AA065A" w:rsidRPr="004B40B3" w:rsidRDefault="00AA065A" w:rsidP="00AA065A">
      <w:pPr>
        <w:pStyle w:val="NoSpacing"/>
        <w:rPr>
          <w:b/>
          <w:bCs/>
          <w:color w:val="263A85"/>
          <w:sz w:val="24"/>
          <w:szCs w:val="24"/>
        </w:rPr>
      </w:pPr>
      <w:r w:rsidRPr="004B40B3">
        <w:rPr>
          <w:b/>
          <w:bCs/>
          <w:color w:val="263A85"/>
          <w:sz w:val="24"/>
          <w:szCs w:val="24"/>
        </w:rPr>
        <w:t xml:space="preserve">Funding and Reimbursement: </w:t>
      </w:r>
    </w:p>
    <w:p w14:paraId="0D420E9D" w14:textId="77777777" w:rsidR="00AA065A" w:rsidRPr="004B40B3" w:rsidRDefault="00AA065A" w:rsidP="00AA065A">
      <w:pPr>
        <w:pStyle w:val="NoSpacing"/>
        <w:numPr>
          <w:ilvl w:val="0"/>
          <w:numId w:val="5"/>
        </w:numPr>
        <w:rPr>
          <w:color w:val="263A85"/>
        </w:rPr>
      </w:pPr>
      <w:r w:rsidRPr="004B40B3">
        <w:rPr>
          <w:color w:val="263A85"/>
        </w:rPr>
        <w:t xml:space="preserve">Grant funding is provided on a reimbursement basis. Applicants must submit paid receipts and documentation of completed renovations. </w:t>
      </w:r>
    </w:p>
    <w:p w14:paraId="3A3767D0" w14:textId="77777777" w:rsidR="00AA065A" w:rsidRDefault="00AA065A" w:rsidP="00AA065A">
      <w:pPr>
        <w:pStyle w:val="NoSpacing"/>
        <w:numPr>
          <w:ilvl w:val="0"/>
          <w:numId w:val="5"/>
        </w:numPr>
        <w:rPr>
          <w:color w:val="263A85"/>
        </w:rPr>
      </w:pPr>
      <w:r w:rsidRPr="004B40B3">
        <w:rPr>
          <w:color w:val="263A85"/>
        </w:rPr>
        <w:t>Funds will be paid in a lump sum at the end of the project as a reimbursement of costs incurred.</w:t>
      </w:r>
    </w:p>
    <w:p w14:paraId="7A967B0A" w14:textId="0FF0C544" w:rsidR="00AA065A" w:rsidRPr="005C68B2" w:rsidRDefault="00AA065A" w:rsidP="00AA065A">
      <w:pPr>
        <w:pStyle w:val="NoSpacing"/>
        <w:numPr>
          <w:ilvl w:val="0"/>
          <w:numId w:val="5"/>
        </w:numPr>
        <w:rPr>
          <w:color w:val="263A85"/>
        </w:rPr>
      </w:pPr>
      <w:r>
        <w:rPr>
          <w:color w:val="263A85"/>
        </w:rPr>
        <w:t xml:space="preserve">A Dunn County JDA representative will visit the site to document </w:t>
      </w:r>
      <w:r w:rsidR="008A5CF4">
        <w:rPr>
          <w:color w:val="263A85"/>
        </w:rPr>
        <w:t>the complete project</w:t>
      </w:r>
      <w:r>
        <w:rPr>
          <w:color w:val="263A85"/>
        </w:rPr>
        <w:t xml:space="preserve">. </w:t>
      </w:r>
    </w:p>
    <w:p w14:paraId="1027627C" w14:textId="32E38AF1" w:rsidR="00AA065A" w:rsidRPr="00AA065A" w:rsidRDefault="00AA065A" w:rsidP="00AA065A">
      <w:pPr>
        <w:pStyle w:val="NoSpacing"/>
        <w:numPr>
          <w:ilvl w:val="0"/>
          <w:numId w:val="5"/>
        </w:numPr>
        <w:rPr>
          <w:color w:val="263A85"/>
        </w:rPr>
      </w:pPr>
      <w:r w:rsidRPr="004B40B3">
        <w:rPr>
          <w:color w:val="263A85"/>
        </w:rPr>
        <w:t>The grant will cover up to $100,000 of the total renovation cost, provided the required 4:1 match is met</w:t>
      </w:r>
      <w:r>
        <w:rPr>
          <w:color w:val="263A85"/>
        </w:rPr>
        <w:t>.</w:t>
      </w:r>
    </w:p>
    <w:p w14:paraId="69557C37" w14:textId="77777777" w:rsidR="004358AE" w:rsidRDefault="004358AE" w:rsidP="00AA065A">
      <w:pPr>
        <w:pStyle w:val="NoSpacing"/>
        <w:rPr>
          <w:b/>
          <w:bCs/>
          <w:color w:val="263A85"/>
          <w:sz w:val="24"/>
          <w:szCs w:val="24"/>
        </w:rPr>
      </w:pPr>
    </w:p>
    <w:p w14:paraId="6CB569BD" w14:textId="77777777" w:rsidR="004358AE" w:rsidRDefault="004358AE" w:rsidP="00AA065A">
      <w:pPr>
        <w:pStyle w:val="NoSpacing"/>
        <w:rPr>
          <w:b/>
          <w:bCs/>
          <w:color w:val="263A85"/>
          <w:sz w:val="24"/>
          <w:szCs w:val="24"/>
        </w:rPr>
      </w:pPr>
    </w:p>
    <w:p w14:paraId="51F9DA0E" w14:textId="0F8B43D1" w:rsidR="00AA065A" w:rsidRPr="004B40B3" w:rsidRDefault="00AA065A" w:rsidP="00AA065A">
      <w:pPr>
        <w:pStyle w:val="NoSpacing"/>
        <w:rPr>
          <w:b/>
          <w:bCs/>
          <w:color w:val="263A85"/>
          <w:sz w:val="24"/>
          <w:szCs w:val="24"/>
        </w:rPr>
      </w:pPr>
      <w:r w:rsidRPr="004B40B3">
        <w:rPr>
          <w:b/>
          <w:bCs/>
          <w:color w:val="263A85"/>
          <w:sz w:val="24"/>
          <w:szCs w:val="24"/>
        </w:rPr>
        <w:t>Project Timeline:</w:t>
      </w:r>
    </w:p>
    <w:p w14:paraId="792F2EF6" w14:textId="7D300A33" w:rsidR="00AA065A" w:rsidRPr="003A12BE" w:rsidRDefault="00AA065A" w:rsidP="00AA065A">
      <w:pPr>
        <w:pStyle w:val="NoSpacing"/>
        <w:numPr>
          <w:ilvl w:val="0"/>
          <w:numId w:val="5"/>
        </w:numPr>
        <w:rPr>
          <w:color w:val="263A85"/>
        </w:rPr>
      </w:pPr>
      <w:r w:rsidRPr="003A12BE">
        <w:rPr>
          <w:color w:val="263A85"/>
        </w:rPr>
        <w:t xml:space="preserve">All renovation projects must be completed, and receipts </w:t>
      </w:r>
      <w:r w:rsidR="008A5CF4">
        <w:rPr>
          <w:color w:val="263A85"/>
        </w:rPr>
        <w:t xml:space="preserve">must be </w:t>
      </w:r>
      <w:r w:rsidRPr="003A12BE">
        <w:rPr>
          <w:color w:val="263A85"/>
        </w:rPr>
        <w:t>submitted within one year of receiving the grant award.</w:t>
      </w:r>
    </w:p>
    <w:p w14:paraId="22299871" w14:textId="77777777" w:rsidR="00AA065A" w:rsidRDefault="00AA065A" w:rsidP="00AA065A">
      <w:pPr>
        <w:pStyle w:val="NoSpacing"/>
        <w:rPr>
          <w:color w:val="263A85"/>
        </w:rPr>
      </w:pPr>
    </w:p>
    <w:p w14:paraId="30C9F14E" w14:textId="77777777" w:rsidR="00AA065A" w:rsidRPr="004B40B3" w:rsidRDefault="00AA065A" w:rsidP="00AA065A">
      <w:pPr>
        <w:pStyle w:val="NoSpacing"/>
        <w:rPr>
          <w:b/>
          <w:bCs/>
          <w:color w:val="263A85"/>
          <w:sz w:val="24"/>
          <w:szCs w:val="24"/>
        </w:rPr>
      </w:pPr>
      <w:r w:rsidRPr="004B40B3">
        <w:rPr>
          <w:b/>
          <w:bCs/>
          <w:color w:val="263A85"/>
          <w:sz w:val="24"/>
          <w:szCs w:val="24"/>
        </w:rPr>
        <w:lastRenderedPageBreak/>
        <w:t>Additional Funding for Large Projects:</w:t>
      </w:r>
    </w:p>
    <w:p w14:paraId="4E3B1766" w14:textId="77777777" w:rsidR="00AA065A" w:rsidRPr="003A12BE" w:rsidRDefault="00AA065A" w:rsidP="00AA065A">
      <w:pPr>
        <w:pStyle w:val="NoSpacing"/>
        <w:numPr>
          <w:ilvl w:val="0"/>
          <w:numId w:val="5"/>
        </w:numPr>
        <w:rPr>
          <w:color w:val="263A85"/>
        </w:rPr>
      </w:pPr>
      <w:r w:rsidRPr="003A12BE">
        <w:rPr>
          <w:color w:val="263A85"/>
        </w:rPr>
        <w:t>Repairs and projects totaling over $125,000 may apply for loan funding, providing additional financial support for larger-scale renovations.</w:t>
      </w:r>
    </w:p>
    <w:p w14:paraId="4BFD8AA2" w14:textId="77777777" w:rsidR="00AA065A" w:rsidRDefault="00AA065A" w:rsidP="00AA065A">
      <w:pPr>
        <w:pStyle w:val="NoSpacing"/>
        <w:rPr>
          <w:color w:val="263A85"/>
        </w:rPr>
      </w:pPr>
    </w:p>
    <w:p w14:paraId="58BC35E0" w14:textId="77777777" w:rsidR="00AA065A" w:rsidRPr="004B40B3" w:rsidRDefault="00AA065A" w:rsidP="00AA065A">
      <w:pPr>
        <w:pStyle w:val="NoSpacing"/>
        <w:rPr>
          <w:b/>
          <w:bCs/>
          <w:color w:val="263A85"/>
          <w:sz w:val="24"/>
          <w:szCs w:val="24"/>
        </w:rPr>
      </w:pPr>
      <w:r w:rsidRPr="004B40B3">
        <w:rPr>
          <w:b/>
          <w:bCs/>
          <w:color w:val="263A85"/>
          <w:sz w:val="24"/>
          <w:szCs w:val="24"/>
        </w:rPr>
        <w:t>Funding Frequency:</w:t>
      </w:r>
    </w:p>
    <w:p w14:paraId="476BC816" w14:textId="77777777" w:rsidR="00AA065A" w:rsidRPr="003A12BE" w:rsidRDefault="00AA065A" w:rsidP="00AA065A">
      <w:pPr>
        <w:pStyle w:val="NoSpacing"/>
        <w:numPr>
          <w:ilvl w:val="0"/>
          <w:numId w:val="5"/>
        </w:numPr>
        <w:rPr>
          <w:color w:val="263A85"/>
        </w:rPr>
      </w:pPr>
      <w:r w:rsidRPr="003A12BE">
        <w:rPr>
          <w:color w:val="263A85"/>
        </w:rPr>
        <w:t>Businesses can apply for funding once every two years.</w:t>
      </w:r>
    </w:p>
    <w:p w14:paraId="0CE7DB8C" w14:textId="77777777" w:rsidR="00AA065A" w:rsidRDefault="00AA065A" w:rsidP="00AA065A">
      <w:pPr>
        <w:pStyle w:val="NoSpacing"/>
        <w:rPr>
          <w:color w:val="263A85"/>
        </w:rPr>
      </w:pPr>
    </w:p>
    <w:p w14:paraId="35DE3E63" w14:textId="77777777" w:rsidR="00AA065A" w:rsidRPr="004B40B3" w:rsidRDefault="00AA065A" w:rsidP="00AA065A">
      <w:pPr>
        <w:pStyle w:val="NoSpacing"/>
        <w:rPr>
          <w:b/>
          <w:bCs/>
          <w:color w:val="263A85"/>
          <w:sz w:val="24"/>
          <w:szCs w:val="24"/>
        </w:rPr>
      </w:pPr>
      <w:r w:rsidRPr="004B40B3">
        <w:rPr>
          <w:b/>
          <w:bCs/>
          <w:color w:val="263A85"/>
          <w:sz w:val="24"/>
          <w:szCs w:val="24"/>
        </w:rPr>
        <w:t>Terms &amp; Conditions:</w:t>
      </w:r>
    </w:p>
    <w:p w14:paraId="2A0C1C1B" w14:textId="77777777" w:rsidR="00AA065A" w:rsidRPr="003A12BE" w:rsidRDefault="00AA065A" w:rsidP="00AA065A">
      <w:pPr>
        <w:pStyle w:val="NoSpacing"/>
        <w:numPr>
          <w:ilvl w:val="0"/>
          <w:numId w:val="5"/>
        </w:numPr>
        <w:rPr>
          <w:color w:val="263A85"/>
        </w:rPr>
      </w:pPr>
      <w:r w:rsidRPr="003A12BE">
        <w:rPr>
          <w:color w:val="263A85"/>
        </w:rPr>
        <w:t>Applications will be taken on a first-come, first-served basis and are subject to the availability of program funds.</w:t>
      </w:r>
    </w:p>
    <w:p w14:paraId="2D9EFDDE" w14:textId="77777777" w:rsidR="00AA065A" w:rsidRPr="003A12BE" w:rsidRDefault="00AA065A" w:rsidP="00AA065A">
      <w:pPr>
        <w:pStyle w:val="NoSpacing"/>
        <w:numPr>
          <w:ilvl w:val="0"/>
          <w:numId w:val="5"/>
        </w:numPr>
        <w:rPr>
          <w:color w:val="263A85"/>
        </w:rPr>
      </w:pPr>
      <w:r w:rsidRPr="003A12BE">
        <w:rPr>
          <w:color w:val="263A85"/>
        </w:rPr>
        <w:t xml:space="preserve">Application to the program does not guarantee funding.  </w:t>
      </w:r>
    </w:p>
    <w:p w14:paraId="477E011E" w14:textId="672D0F8F" w:rsidR="00AA065A" w:rsidRPr="003A12BE" w:rsidRDefault="00AA065A" w:rsidP="00AA065A">
      <w:pPr>
        <w:pStyle w:val="NoSpacing"/>
        <w:numPr>
          <w:ilvl w:val="0"/>
          <w:numId w:val="5"/>
        </w:numPr>
        <w:rPr>
          <w:color w:val="263A85"/>
        </w:rPr>
      </w:pPr>
      <w:r w:rsidRPr="003A12BE">
        <w:rPr>
          <w:color w:val="263A85"/>
        </w:rPr>
        <w:t xml:space="preserve">Applicants </w:t>
      </w:r>
      <w:r w:rsidR="008A5CF4">
        <w:rPr>
          <w:color w:val="263A85"/>
        </w:rPr>
        <w:t>must</w:t>
      </w:r>
      <w:r w:rsidRPr="003A12BE">
        <w:rPr>
          <w:color w:val="263A85"/>
        </w:rPr>
        <w:t xml:space="preserve"> sign a Memorandum of Understanding guaranteeing the project will be completed according to the details included on the application and by the Dunn County JDA Board. </w:t>
      </w:r>
    </w:p>
    <w:p w14:paraId="47FDC313" w14:textId="209F8E7E" w:rsidR="00AA065A" w:rsidRPr="003A12BE" w:rsidRDefault="00AA065A" w:rsidP="00AA065A">
      <w:pPr>
        <w:pStyle w:val="NoSpacing"/>
        <w:numPr>
          <w:ilvl w:val="0"/>
          <w:numId w:val="5"/>
        </w:numPr>
        <w:rPr>
          <w:color w:val="263A85"/>
        </w:rPr>
      </w:pPr>
      <w:r w:rsidRPr="003A12BE">
        <w:rPr>
          <w:color w:val="263A85"/>
        </w:rPr>
        <w:t>Prior to reimbursement, the applicant will sign a</w:t>
      </w:r>
      <w:r>
        <w:rPr>
          <w:color w:val="263A85"/>
        </w:rPr>
        <w:t xml:space="preserve"> Business Incentive Agreement and </w:t>
      </w:r>
      <w:r w:rsidR="008A5CF4" w:rsidRPr="008A5CF4">
        <w:rPr>
          <w:color w:val="263A85"/>
        </w:rPr>
        <w:t>Forgiven Loan Agreement. The forgivable loan will be pro-rated and forgiven over three years, contingent upon the business remaining open for three years after</w:t>
      </w:r>
      <w:r w:rsidRPr="003A12BE">
        <w:rPr>
          <w:color w:val="263A85"/>
        </w:rPr>
        <w:t xml:space="preserve"> project completion.</w:t>
      </w:r>
    </w:p>
    <w:p w14:paraId="6D318E4F" w14:textId="77777777" w:rsidR="00AA065A" w:rsidRPr="003A12BE" w:rsidRDefault="00AA065A" w:rsidP="00AA065A">
      <w:pPr>
        <w:pStyle w:val="NoSpacing"/>
        <w:numPr>
          <w:ilvl w:val="0"/>
          <w:numId w:val="5"/>
        </w:numPr>
        <w:rPr>
          <w:color w:val="263A85"/>
        </w:rPr>
      </w:pPr>
      <w:r w:rsidRPr="003A12BE">
        <w:rPr>
          <w:color w:val="263A85"/>
        </w:rPr>
        <w:t xml:space="preserve">Dunn County JDA reserves the right to cancel the Storefront Renovation Grant Program in the event of failure to comply with this agreement. </w:t>
      </w:r>
    </w:p>
    <w:p w14:paraId="212D67CF" w14:textId="77777777" w:rsidR="00AA065A" w:rsidRPr="003A12BE" w:rsidRDefault="00AA065A" w:rsidP="00AA065A">
      <w:pPr>
        <w:pStyle w:val="NoSpacing"/>
        <w:numPr>
          <w:ilvl w:val="0"/>
          <w:numId w:val="5"/>
        </w:numPr>
        <w:rPr>
          <w:color w:val="263A85"/>
        </w:rPr>
      </w:pPr>
      <w:r w:rsidRPr="003A12BE">
        <w:rPr>
          <w:color w:val="263A85"/>
        </w:rPr>
        <w:t xml:space="preserve">Dunn County JDA will have the authority to approve, disapprove, or make changes as necessary. </w:t>
      </w:r>
    </w:p>
    <w:p w14:paraId="65F43475" w14:textId="77777777" w:rsidR="00AA065A" w:rsidRPr="003A12BE" w:rsidRDefault="00AA065A" w:rsidP="00AA065A">
      <w:pPr>
        <w:pStyle w:val="NoSpacing"/>
        <w:numPr>
          <w:ilvl w:val="0"/>
          <w:numId w:val="5"/>
        </w:numPr>
        <w:rPr>
          <w:color w:val="263A85"/>
        </w:rPr>
      </w:pPr>
      <w:r w:rsidRPr="003A12BE">
        <w:rPr>
          <w:color w:val="263A85"/>
        </w:rPr>
        <w:t xml:space="preserve">Dunn County JDA reserves the right to request additional information as needed. </w:t>
      </w:r>
    </w:p>
    <w:p w14:paraId="648D588C" w14:textId="77777777" w:rsidR="00AA065A" w:rsidRDefault="00AA065A" w:rsidP="00AA065A">
      <w:pPr>
        <w:pStyle w:val="NoSpacing"/>
        <w:numPr>
          <w:ilvl w:val="0"/>
          <w:numId w:val="5"/>
        </w:numPr>
        <w:rPr>
          <w:color w:val="263A85"/>
        </w:rPr>
      </w:pPr>
      <w:r w:rsidRPr="003A12BE">
        <w:rPr>
          <w:color w:val="263A85"/>
        </w:rPr>
        <w:t xml:space="preserve">Please consult your accountant on proper tax handling. </w:t>
      </w:r>
    </w:p>
    <w:p w14:paraId="1D8AF038" w14:textId="77777777" w:rsidR="00AA065A" w:rsidRDefault="00AA065A" w:rsidP="00AA065A">
      <w:pPr>
        <w:pStyle w:val="NoSpacing"/>
        <w:numPr>
          <w:ilvl w:val="0"/>
          <w:numId w:val="5"/>
        </w:numPr>
        <w:rPr>
          <w:color w:val="263A85"/>
        </w:rPr>
      </w:pPr>
      <w:r w:rsidRPr="003A12BE">
        <w:rPr>
          <w:color w:val="263A85"/>
        </w:rPr>
        <w:t>Any exceptions to the program guidelines must be requested in writing at the time of application.</w:t>
      </w:r>
    </w:p>
    <w:p w14:paraId="762E4365" w14:textId="189E888C" w:rsidR="00AA065A" w:rsidRPr="003A12BE" w:rsidRDefault="00AA065A" w:rsidP="00AA065A">
      <w:pPr>
        <w:pStyle w:val="NoSpacing"/>
        <w:numPr>
          <w:ilvl w:val="0"/>
          <w:numId w:val="5"/>
        </w:numPr>
        <w:rPr>
          <w:color w:val="263A85"/>
        </w:rPr>
      </w:pPr>
      <w:r>
        <w:rPr>
          <w:color w:val="263A85"/>
        </w:rPr>
        <w:t xml:space="preserve">The completed project must be the same project that was approved by the Dunn County JDA Board </w:t>
      </w:r>
      <w:r w:rsidR="008A5CF4">
        <w:rPr>
          <w:color w:val="263A85"/>
        </w:rPr>
        <w:t>for</w:t>
      </w:r>
      <w:r>
        <w:rPr>
          <w:color w:val="263A85"/>
        </w:rPr>
        <w:t xml:space="preserve"> funds to be released. If it becomes necessary to change the project definition, the JDA Executive Director must be included in the process </w:t>
      </w:r>
      <w:r w:rsidR="008A5CF4">
        <w:rPr>
          <w:color w:val="263A85"/>
        </w:rPr>
        <w:t>to</w:t>
      </w:r>
      <w:r>
        <w:rPr>
          <w:color w:val="263A85"/>
        </w:rPr>
        <w:t xml:space="preserve"> maintain grant eligibility.</w:t>
      </w:r>
    </w:p>
    <w:p w14:paraId="67DC7C97" w14:textId="77777777" w:rsidR="00AA065A" w:rsidRDefault="00AA065A" w:rsidP="00AA065A">
      <w:pPr>
        <w:pStyle w:val="NoSpacing"/>
        <w:rPr>
          <w:color w:val="263A85"/>
        </w:rPr>
      </w:pPr>
    </w:p>
    <w:p w14:paraId="10A49349" w14:textId="77777777" w:rsidR="00AA065A" w:rsidRDefault="00AA065A" w:rsidP="00AA065A"/>
    <w:p w14:paraId="14B3169D" w14:textId="77777777" w:rsidR="00AA065A" w:rsidRDefault="00AA065A" w:rsidP="00AA065A"/>
    <w:p w14:paraId="35773644" w14:textId="77777777" w:rsidR="00AA065A" w:rsidRDefault="00AA065A" w:rsidP="00AA065A"/>
    <w:p w14:paraId="27B4866D" w14:textId="77777777" w:rsidR="00AA065A" w:rsidRPr="00AA065A" w:rsidRDefault="00AA065A" w:rsidP="00AA065A">
      <w:pPr>
        <w:jc w:val="center"/>
      </w:pPr>
    </w:p>
    <w:sectPr w:rsidR="00AA065A" w:rsidRPr="00AA06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9080" w14:textId="77777777" w:rsidR="004358AE" w:rsidRDefault="004358AE" w:rsidP="004358AE">
      <w:pPr>
        <w:spacing w:after="0" w:line="240" w:lineRule="auto"/>
      </w:pPr>
      <w:r>
        <w:separator/>
      </w:r>
    </w:p>
  </w:endnote>
  <w:endnote w:type="continuationSeparator" w:id="0">
    <w:p w14:paraId="2060F160" w14:textId="77777777" w:rsidR="004358AE" w:rsidRDefault="004358AE" w:rsidP="0043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64A0" w14:textId="77777777" w:rsidR="004358AE" w:rsidRDefault="004358AE" w:rsidP="004358AE">
    <w:pPr>
      <w:pStyle w:val="Footer"/>
      <w:jc w:val="right"/>
      <w:rPr>
        <w:color w:val="0E8744"/>
        <w:sz w:val="20"/>
        <w:szCs w:val="20"/>
      </w:rPr>
    </w:pPr>
    <w:r>
      <w:rPr>
        <w:noProof/>
        <w:color w:val="0E8744"/>
        <w:sz w:val="20"/>
        <w:szCs w:val="20"/>
      </w:rPr>
      <w:drawing>
        <wp:anchor distT="0" distB="0" distL="114300" distR="114300" simplePos="0" relativeHeight="251659264" behindDoc="0" locked="0" layoutInCell="1" allowOverlap="1" wp14:anchorId="70429754" wp14:editId="45B47790">
          <wp:simplePos x="0" y="0"/>
          <wp:positionH relativeFrom="column">
            <wp:posOffset>4068445</wp:posOffset>
          </wp:positionH>
          <wp:positionV relativeFrom="paragraph">
            <wp:posOffset>111712</wp:posOffset>
          </wp:positionV>
          <wp:extent cx="1877076" cy="480900"/>
          <wp:effectExtent l="0" t="0" r="0" b="0"/>
          <wp:wrapNone/>
          <wp:docPr id="1983776658"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76658" name="Picture 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7076" cy="480900"/>
                  </a:xfrm>
                  <a:prstGeom prst="rect">
                    <a:avLst/>
                  </a:prstGeom>
                </pic:spPr>
              </pic:pic>
            </a:graphicData>
          </a:graphic>
        </wp:anchor>
      </w:drawing>
    </w:r>
  </w:p>
  <w:p w14:paraId="0AB833A8" w14:textId="77777777" w:rsidR="004358AE" w:rsidRDefault="004358AE" w:rsidP="004358AE">
    <w:pPr>
      <w:pStyle w:val="Footer"/>
      <w:rPr>
        <w:color w:val="0E8744"/>
        <w:sz w:val="20"/>
        <w:szCs w:val="20"/>
      </w:rPr>
    </w:pPr>
  </w:p>
  <w:p w14:paraId="57A26C3A" w14:textId="77777777" w:rsidR="004358AE" w:rsidRDefault="004358AE" w:rsidP="004358AE">
    <w:pPr>
      <w:pStyle w:val="Footer"/>
      <w:rPr>
        <w:color w:val="0E8744"/>
        <w:sz w:val="20"/>
        <w:szCs w:val="20"/>
      </w:rPr>
    </w:pPr>
  </w:p>
  <w:p w14:paraId="0D1ECFC1" w14:textId="77777777" w:rsidR="004358AE" w:rsidRDefault="004358AE" w:rsidP="004358AE">
    <w:pPr>
      <w:pStyle w:val="Footer"/>
      <w:rPr>
        <w:color w:val="0E8744"/>
        <w:sz w:val="20"/>
        <w:szCs w:val="20"/>
      </w:rPr>
    </w:pPr>
  </w:p>
  <w:p w14:paraId="7214DB0E" w14:textId="77777777" w:rsidR="004358AE" w:rsidRDefault="004358AE" w:rsidP="004358AE">
    <w:pPr>
      <w:pStyle w:val="Footer"/>
      <w:rPr>
        <w:noProof/>
        <w:color w:val="0E8744"/>
        <w:sz w:val="18"/>
        <w:szCs w:val="18"/>
      </w:rPr>
    </w:pPr>
  </w:p>
  <w:p w14:paraId="25248DEA" w14:textId="77777777" w:rsidR="004358AE" w:rsidRDefault="004358AE" w:rsidP="004358AE">
    <w:pPr>
      <w:pStyle w:val="Footer"/>
      <w:rPr>
        <w:noProof/>
        <w:color w:val="0E8744"/>
        <w:sz w:val="18"/>
        <w:szCs w:val="18"/>
      </w:rPr>
    </w:pPr>
  </w:p>
  <w:p w14:paraId="06651E28" w14:textId="77777777" w:rsidR="004358AE" w:rsidRPr="006D61AE" w:rsidRDefault="004358AE" w:rsidP="004358AE">
    <w:pPr>
      <w:pStyle w:val="Footer"/>
      <w:jc w:val="center"/>
      <w:rPr>
        <w:color w:val="0E8744"/>
        <w:sz w:val="18"/>
        <w:szCs w:val="18"/>
      </w:rPr>
    </w:pPr>
    <w:r w:rsidRPr="006D61AE">
      <w:rPr>
        <w:color w:val="0E8744"/>
        <w:sz w:val="18"/>
        <w:szCs w:val="18"/>
      </w:rPr>
      <w:t>701.573.6092  |  carie.boster@dunncountynd.</w:t>
    </w:r>
    <w:r>
      <w:rPr>
        <w:color w:val="0E8744"/>
        <w:sz w:val="18"/>
        <w:szCs w:val="18"/>
      </w:rPr>
      <w:t>gov</w:t>
    </w:r>
    <w:r w:rsidRPr="006D61AE">
      <w:rPr>
        <w:color w:val="0E8744"/>
        <w:sz w:val="18"/>
        <w:szCs w:val="18"/>
      </w:rPr>
      <w:t xml:space="preserve">  |  205 Owens St.  |  Manning, ND 58642 </w:t>
    </w:r>
    <w:r w:rsidRPr="006D61AE">
      <w:rPr>
        <w:color w:val="0E8744"/>
        <w:sz w:val="18"/>
        <w:szCs w:val="18"/>
      </w:rPr>
      <w:tab/>
      <w:t>v1</w:t>
    </w:r>
    <w:r>
      <w:rPr>
        <w:color w:val="0E8744"/>
        <w:sz w:val="18"/>
        <w:szCs w:val="18"/>
      </w:rPr>
      <w:t>122</w:t>
    </w:r>
    <w:r w:rsidRPr="006D61AE">
      <w:rPr>
        <w:color w:val="0E8744"/>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69A4E" w14:textId="77777777" w:rsidR="004358AE" w:rsidRDefault="004358AE" w:rsidP="004358AE">
      <w:pPr>
        <w:spacing w:after="0" w:line="240" w:lineRule="auto"/>
      </w:pPr>
      <w:r>
        <w:separator/>
      </w:r>
    </w:p>
  </w:footnote>
  <w:footnote w:type="continuationSeparator" w:id="0">
    <w:p w14:paraId="77C328A2" w14:textId="77777777" w:rsidR="004358AE" w:rsidRDefault="004358AE" w:rsidP="00435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0178"/>
    <w:multiLevelType w:val="hybridMultilevel"/>
    <w:tmpl w:val="1E94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4B54C1"/>
    <w:multiLevelType w:val="hybridMultilevel"/>
    <w:tmpl w:val="6B6E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3618C"/>
    <w:multiLevelType w:val="hybridMultilevel"/>
    <w:tmpl w:val="0AC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F2743"/>
    <w:multiLevelType w:val="hybridMultilevel"/>
    <w:tmpl w:val="FB5C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1A0095"/>
    <w:multiLevelType w:val="hybridMultilevel"/>
    <w:tmpl w:val="A0E4E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6C"/>
    <w:rsid w:val="000F7B6C"/>
    <w:rsid w:val="001A361A"/>
    <w:rsid w:val="004358AE"/>
    <w:rsid w:val="008A5CF4"/>
    <w:rsid w:val="008D5F96"/>
    <w:rsid w:val="00AA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1FE6"/>
  <w15:chartTrackingRefBased/>
  <w15:docId w15:val="{728FB0AD-4C6B-4609-92AF-89A78036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65A"/>
    <w:pPr>
      <w:spacing w:line="259" w:lineRule="auto"/>
    </w:pPr>
    <w:rPr>
      <w:sz w:val="22"/>
      <w:szCs w:val="22"/>
    </w:rPr>
  </w:style>
  <w:style w:type="paragraph" w:styleId="Heading1">
    <w:name w:val="heading 1"/>
    <w:basedOn w:val="Normal"/>
    <w:next w:val="Normal"/>
    <w:link w:val="Heading1Char"/>
    <w:uiPriority w:val="9"/>
    <w:qFormat/>
    <w:rsid w:val="000F7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B6C"/>
    <w:rPr>
      <w:rFonts w:eastAsiaTheme="majorEastAsia" w:cstheme="majorBidi"/>
      <w:color w:val="272727" w:themeColor="text1" w:themeTint="D8"/>
    </w:rPr>
  </w:style>
  <w:style w:type="paragraph" w:styleId="Title">
    <w:name w:val="Title"/>
    <w:basedOn w:val="Normal"/>
    <w:next w:val="Normal"/>
    <w:link w:val="TitleChar"/>
    <w:uiPriority w:val="10"/>
    <w:qFormat/>
    <w:rsid w:val="000F7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B6C"/>
    <w:pPr>
      <w:spacing w:before="160"/>
      <w:jc w:val="center"/>
    </w:pPr>
    <w:rPr>
      <w:i/>
      <w:iCs/>
      <w:color w:val="404040" w:themeColor="text1" w:themeTint="BF"/>
    </w:rPr>
  </w:style>
  <w:style w:type="character" w:customStyle="1" w:styleId="QuoteChar">
    <w:name w:val="Quote Char"/>
    <w:basedOn w:val="DefaultParagraphFont"/>
    <w:link w:val="Quote"/>
    <w:uiPriority w:val="29"/>
    <w:rsid w:val="000F7B6C"/>
    <w:rPr>
      <w:i/>
      <w:iCs/>
      <w:color w:val="404040" w:themeColor="text1" w:themeTint="BF"/>
    </w:rPr>
  </w:style>
  <w:style w:type="paragraph" w:styleId="ListParagraph">
    <w:name w:val="List Paragraph"/>
    <w:basedOn w:val="Normal"/>
    <w:uiPriority w:val="34"/>
    <w:qFormat/>
    <w:rsid w:val="000F7B6C"/>
    <w:pPr>
      <w:ind w:left="720"/>
      <w:contextualSpacing/>
    </w:pPr>
  </w:style>
  <w:style w:type="character" w:styleId="IntenseEmphasis">
    <w:name w:val="Intense Emphasis"/>
    <w:basedOn w:val="DefaultParagraphFont"/>
    <w:uiPriority w:val="21"/>
    <w:qFormat/>
    <w:rsid w:val="000F7B6C"/>
    <w:rPr>
      <w:i/>
      <w:iCs/>
      <w:color w:val="0F4761" w:themeColor="accent1" w:themeShade="BF"/>
    </w:rPr>
  </w:style>
  <w:style w:type="paragraph" w:styleId="IntenseQuote">
    <w:name w:val="Intense Quote"/>
    <w:basedOn w:val="Normal"/>
    <w:next w:val="Normal"/>
    <w:link w:val="IntenseQuoteChar"/>
    <w:uiPriority w:val="30"/>
    <w:qFormat/>
    <w:rsid w:val="000F7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B6C"/>
    <w:rPr>
      <w:i/>
      <w:iCs/>
      <w:color w:val="0F4761" w:themeColor="accent1" w:themeShade="BF"/>
    </w:rPr>
  </w:style>
  <w:style w:type="character" w:styleId="IntenseReference">
    <w:name w:val="Intense Reference"/>
    <w:basedOn w:val="DefaultParagraphFont"/>
    <w:uiPriority w:val="32"/>
    <w:qFormat/>
    <w:rsid w:val="000F7B6C"/>
    <w:rPr>
      <w:b/>
      <w:bCs/>
      <w:smallCaps/>
      <w:color w:val="0F4761" w:themeColor="accent1" w:themeShade="BF"/>
      <w:spacing w:val="5"/>
    </w:rPr>
  </w:style>
  <w:style w:type="paragraph" w:styleId="NoSpacing">
    <w:name w:val="No Spacing"/>
    <w:uiPriority w:val="1"/>
    <w:qFormat/>
    <w:rsid w:val="00AA065A"/>
    <w:pPr>
      <w:spacing w:after="0" w:line="240" w:lineRule="auto"/>
    </w:pPr>
    <w:rPr>
      <w:sz w:val="22"/>
      <w:szCs w:val="22"/>
    </w:rPr>
  </w:style>
  <w:style w:type="paragraph" w:styleId="Header">
    <w:name w:val="header"/>
    <w:basedOn w:val="Normal"/>
    <w:link w:val="HeaderChar"/>
    <w:uiPriority w:val="99"/>
    <w:unhideWhenUsed/>
    <w:rsid w:val="00435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8AE"/>
    <w:rPr>
      <w:sz w:val="22"/>
      <w:szCs w:val="22"/>
    </w:rPr>
  </w:style>
  <w:style w:type="paragraph" w:styleId="Footer">
    <w:name w:val="footer"/>
    <w:basedOn w:val="Normal"/>
    <w:link w:val="FooterChar"/>
    <w:uiPriority w:val="99"/>
    <w:unhideWhenUsed/>
    <w:rsid w:val="00435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8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Brooklyn Engelhart</dc:creator>
  <cp:keywords/>
  <dc:description/>
  <cp:lastModifiedBy>Carie Boster</cp:lastModifiedBy>
  <cp:revision>3</cp:revision>
  <dcterms:created xsi:type="dcterms:W3CDTF">2025-01-07T21:56:00Z</dcterms:created>
  <dcterms:modified xsi:type="dcterms:W3CDTF">2025-01-07T21:57:00Z</dcterms:modified>
</cp:coreProperties>
</file>